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6A7F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11-2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1A46C5" w:rsidP="00345F9B">
                <w:pPr>
                  <w:pStyle w:val="Hjrespaltetekst"/>
                  <w:spacing w:before="240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20. november 2014</w:t>
                </w:r>
              </w:p>
            </w:sdtContent>
          </w:sdt>
          <w:p w:rsidR="00F37F63" w:rsidRDefault="00F37F63" w:rsidP="00345F9B">
            <w:pPr>
              <w:pStyle w:val="Template-Dato"/>
              <w:spacing w:before="240"/>
            </w:pPr>
            <w:r>
              <w:t xml:space="preserve">J.nr. </w:t>
            </w:r>
            <w:bookmarkStart w:id="0" w:name="sagsnr"/>
            <w:bookmarkEnd w:id="0"/>
            <w:r w:rsidR="00611A59">
              <w:t>14-2328147</w:t>
            </w:r>
          </w:p>
          <w:p w:rsidR="00F37F63" w:rsidRPr="00102933" w:rsidRDefault="00F37F63" w:rsidP="00345F9B">
            <w:pPr>
              <w:pStyle w:val="Hjrespaltetekst"/>
              <w:spacing w:before="240"/>
              <w:rPr>
                <w:lang w:val="nb-NO"/>
              </w:rPr>
            </w:pPr>
            <w:r w:rsidRPr="00102933">
              <w:rPr>
                <w:lang w:val="nb-NO"/>
              </w:rPr>
              <w:t xml:space="preserve">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094ABD" w:rsidTr="00C45EEB">
        <w:trPr>
          <w:trHeight w:hRule="exact" w:val="2835"/>
        </w:trPr>
        <w:tc>
          <w:tcPr>
            <w:tcW w:w="7655" w:type="dxa"/>
            <w:vAlign w:val="bottom"/>
          </w:tcPr>
          <w:p w:rsidR="00F37F63" w:rsidRPr="00094ABD" w:rsidRDefault="00FB1FE9" w:rsidP="00345F9B">
            <w:pPr>
              <w:spacing w:before="240"/>
            </w:pPr>
            <w:r w:rsidRPr="00FB1FE9">
              <w:t>Til Folketinget – Skatteudvalget</w:t>
            </w:r>
          </w:p>
        </w:tc>
      </w:tr>
    </w:tbl>
    <w:p w:rsidR="00F37F63" w:rsidRDefault="00F37F63" w:rsidP="00345F9B">
      <w:pPr>
        <w:spacing w:before="240"/>
      </w:pPr>
    </w:p>
    <w:p w:rsidR="00353DF3" w:rsidRDefault="00600E3E" w:rsidP="00345F9B">
      <w:pPr>
        <w:spacing w:before="240"/>
      </w:pPr>
      <w:r w:rsidRPr="00684545">
        <w:t xml:space="preserve">Til udvalgets orientering </w:t>
      </w:r>
      <w:r>
        <w:t xml:space="preserve">vedlægges </w:t>
      </w:r>
      <w:r w:rsidR="00E54681">
        <w:t xml:space="preserve">supplerede </w:t>
      </w:r>
      <w:r w:rsidR="001A74AB">
        <w:t xml:space="preserve">høringsskema med tilhørende </w:t>
      </w:r>
      <w:r>
        <w:t xml:space="preserve">modtagne høringssvar vedrørende </w:t>
      </w:r>
      <w:r w:rsidR="00353DF3">
        <w:t xml:space="preserve">forslaget til ændring af lønsumsafgiftsloven i </w:t>
      </w:r>
      <w:r>
        <w:t>forslag til</w:t>
      </w:r>
      <w:r w:rsidR="00773427">
        <w:t xml:space="preserve"> f</w:t>
      </w:r>
      <w:r w:rsidR="0035041B">
        <w:t>orenkling af</w:t>
      </w:r>
      <w:r w:rsidR="003B43C2">
        <w:t xml:space="preserve"> </w:t>
      </w:r>
      <w:r w:rsidR="00893C78">
        <w:t xml:space="preserve">registrerede </w:t>
      </w:r>
      <w:r w:rsidR="003B43C2">
        <w:t>varemodtager</w:t>
      </w:r>
      <w:r w:rsidR="00893C78">
        <w:t>es adgang til godtgørelse af afgift ved eksport</w:t>
      </w:r>
      <w:r w:rsidR="003B43C2">
        <w:t>, afgiftsfritage</w:t>
      </w:r>
      <w:r w:rsidR="003B43C2">
        <w:t>l</w:t>
      </w:r>
      <w:r w:rsidR="003B43C2">
        <w:t>se af varer henhørende under toldoplagsprocedure m.v.,</w:t>
      </w:r>
      <w:r w:rsidR="0052406A">
        <w:t xml:space="preserve"> lønsumsafgift for selvstændige momsgrupper,</w:t>
      </w:r>
      <w:r w:rsidR="003B43C2">
        <w:t xml:space="preserve"> indførelse af mulighed for indirekte opgørelse af afgifter af bygas, afska</w:t>
      </w:r>
      <w:r w:rsidR="003B43C2">
        <w:t>f</w:t>
      </w:r>
      <w:r w:rsidR="003B43C2">
        <w:t>felse af banderoler på spiritus samt forenklinger og tekniske justeringer af forskellige a</w:t>
      </w:r>
      <w:r w:rsidR="003B43C2">
        <w:t>f</w:t>
      </w:r>
      <w:r w:rsidR="003B43C2">
        <w:t xml:space="preserve">giftslove m.v. </w:t>
      </w:r>
      <w:r w:rsidR="00A42A86">
        <w:t>(L 64)</w:t>
      </w:r>
    </w:p>
    <w:p w:rsidR="00967833" w:rsidRDefault="00967833" w:rsidP="00345F9B">
      <w:pPr>
        <w:spacing w:before="240"/>
      </w:pPr>
    </w:p>
    <w:p w:rsidR="00967833" w:rsidRDefault="00967833" w:rsidP="00345F9B">
      <w:pPr>
        <w:spacing w:before="240"/>
      </w:pPr>
    </w:p>
    <w:p w:rsidR="00161AF0" w:rsidRDefault="00161AF0" w:rsidP="00345F9B">
      <w:pPr>
        <w:keepNext/>
        <w:keepLines/>
        <w:spacing w:before="240"/>
        <w:jc w:val="center"/>
      </w:pPr>
      <w:r>
        <w:t>Benny Engelbrecht</w:t>
      </w:r>
    </w:p>
    <w:p w:rsidR="00967833" w:rsidRDefault="00967833" w:rsidP="00345F9B">
      <w:pPr>
        <w:keepNext/>
        <w:keepLines/>
        <w:spacing w:before="240"/>
        <w:jc w:val="right"/>
      </w:pPr>
      <w:r>
        <w:t xml:space="preserve">/ </w:t>
      </w:r>
      <w:r w:rsidR="00CF448D">
        <w:t>Jeanette Rose Hansen</w:t>
      </w:r>
    </w:p>
    <w:p w:rsidR="00815F28" w:rsidRDefault="00815F28" w:rsidP="00345F9B">
      <w:pPr>
        <w:spacing w:before="240" w:line="260" w:lineRule="atLeast"/>
      </w:pPr>
      <w:r>
        <w:br w:type="page"/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32"/>
        <w:gridCol w:w="3223"/>
        <w:gridCol w:w="443"/>
        <w:gridCol w:w="3180"/>
      </w:tblGrid>
      <w:tr w:rsidR="00600E3E" w:rsidTr="009A2717">
        <w:trPr>
          <w:tblHeader/>
        </w:trPr>
        <w:tc>
          <w:tcPr>
            <w:tcW w:w="2661" w:type="dxa"/>
            <w:shd w:val="clear" w:color="auto" w:fill="D1C5C3"/>
            <w:vAlign w:val="center"/>
          </w:tcPr>
          <w:p w:rsidR="00600E3E" w:rsidRDefault="00600E3E" w:rsidP="00345F9B">
            <w:pPr>
              <w:pStyle w:val="Tabel-KolonneOverskrift"/>
              <w:spacing w:before="240"/>
            </w:pPr>
            <w:r>
              <w:lastRenderedPageBreak/>
              <w:t>Organisation</w:t>
            </w:r>
          </w:p>
        </w:tc>
        <w:tc>
          <w:tcPr>
            <w:tcW w:w="132" w:type="dxa"/>
            <w:shd w:val="clear" w:color="auto" w:fill="FFFFFF" w:themeFill="background1"/>
            <w:vAlign w:val="center"/>
          </w:tcPr>
          <w:p w:rsidR="00600E3E" w:rsidRDefault="00600E3E" w:rsidP="00345F9B">
            <w:pPr>
              <w:keepNext/>
              <w:keepLines/>
              <w:spacing w:before="240"/>
            </w:pPr>
          </w:p>
        </w:tc>
        <w:tc>
          <w:tcPr>
            <w:tcW w:w="3223" w:type="dxa"/>
            <w:shd w:val="clear" w:color="auto" w:fill="D1C5C3" w:themeFill="accent3"/>
            <w:vAlign w:val="center"/>
          </w:tcPr>
          <w:p w:rsidR="00600E3E" w:rsidRDefault="00600E3E" w:rsidP="00345F9B">
            <w:pPr>
              <w:pStyle w:val="Tabel-KolonneOverskrift"/>
              <w:spacing w:before="240"/>
            </w:pPr>
            <w:r>
              <w:t>Bemærkninger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600E3E" w:rsidRDefault="00600E3E" w:rsidP="00345F9B">
            <w:pPr>
              <w:keepNext/>
              <w:keepLines/>
              <w:spacing w:before="240"/>
            </w:pPr>
          </w:p>
        </w:tc>
        <w:tc>
          <w:tcPr>
            <w:tcW w:w="3180" w:type="dxa"/>
            <w:shd w:val="clear" w:color="auto" w:fill="14143C" w:themeFill="accent1"/>
            <w:vAlign w:val="center"/>
          </w:tcPr>
          <w:p w:rsidR="00600E3E" w:rsidRDefault="00600E3E" w:rsidP="00345F9B">
            <w:pPr>
              <w:pStyle w:val="Tabel-KolonneOverskriftHvid"/>
              <w:spacing w:before="240"/>
            </w:pPr>
            <w:r>
              <w:t>Kommentarer</w:t>
            </w:r>
          </w:p>
        </w:tc>
      </w:tr>
      <w:tr w:rsidR="002D34F9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2D34F9" w:rsidRPr="00A42A86" w:rsidRDefault="002D34F9" w:rsidP="00255FEA">
            <w:pPr>
              <w:pStyle w:val="Tabel-BrdtekstmedafstandptekstGaramond"/>
              <w:spacing w:before="0"/>
            </w:pPr>
            <w:r>
              <w:t>Advokatrådet</w:t>
            </w:r>
          </w:p>
        </w:tc>
        <w:tc>
          <w:tcPr>
            <w:tcW w:w="132" w:type="dxa"/>
            <w:shd w:val="clear" w:color="auto" w:fill="FFFFFF" w:themeFill="background1"/>
          </w:tcPr>
          <w:p w:rsidR="002D34F9" w:rsidRPr="00A42A86" w:rsidRDefault="002D34F9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574D93" w:rsidRDefault="00574D93" w:rsidP="00B873A5">
            <w:pPr>
              <w:pStyle w:val="Tabel-BrdtekstmedafstandptekstGaramond"/>
              <w:spacing w:before="0"/>
              <w:ind w:left="184"/>
            </w:pPr>
            <w:r>
              <w:t xml:space="preserve">Advokatrådet finder det ikke korrekt, når det i </w:t>
            </w:r>
            <w:r w:rsidR="00BD393B">
              <w:t>bemærkninge</w:t>
            </w:r>
            <w:r w:rsidR="00BD393B">
              <w:t>r</w:t>
            </w:r>
            <w:r w:rsidR="00BD393B">
              <w:t xml:space="preserve">ne </w:t>
            </w:r>
            <w:r w:rsidR="00453800">
              <w:t>til lovforslaget anføres</w:t>
            </w:r>
            <w:r w:rsidR="00BD393B">
              <w:t xml:space="preserve">, at </w:t>
            </w:r>
            <w:r w:rsidR="00453800">
              <w:t xml:space="preserve">formålet med momslovens </w:t>
            </w:r>
            <w:r w:rsidR="002522DC">
              <w:t>b</w:t>
            </w:r>
            <w:r w:rsidR="002522DC">
              <w:t>e</w:t>
            </w:r>
            <w:r w:rsidR="002522DC">
              <w:t xml:space="preserve">stemmelse om selvstændige momsgrupper i </w:t>
            </w:r>
            <w:r w:rsidR="00453800">
              <w:t xml:space="preserve">§ 13, stk. 1, nr. 19, er, at </w:t>
            </w:r>
            <w:r w:rsidR="00BD393B">
              <w:t>fjerne et incitament til, at momsfritagne virksomheder uden fradragsret for købsmoms udfører ydelser internt i vir</w:t>
            </w:r>
            <w:r w:rsidR="00BD393B">
              <w:t>k</w:t>
            </w:r>
            <w:r w:rsidR="00BD393B">
              <w:t xml:space="preserve">somheden frem for at købe dem ”ude i byen”. </w:t>
            </w:r>
            <w:r w:rsidR="002522DC">
              <w:t>F</w:t>
            </w:r>
            <w:r w:rsidR="00453800">
              <w:t xml:space="preserve">ormålet </w:t>
            </w:r>
            <w:r w:rsidR="002522DC">
              <w:t>med b</w:t>
            </w:r>
            <w:r w:rsidR="002522DC">
              <w:t>e</w:t>
            </w:r>
            <w:r w:rsidR="002522DC">
              <w:t xml:space="preserve">stemmelsen </w:t>
            </w:r>
            <w:r w:rsidR="00453800">
              <w:t xml:space="preserve">er efter </w:t>
            </w:r>
            <w:r w:rsidR="00BD393B">
              <w:t>Advokatr</w:t>
            </w:r>
            <w:r w:rsidR="00BD393B">
              <w:t>å</w:t>
            </w:r>
            <w:r w:rsidR="00BD393B">
              <w:t>det</w:t>
            </w:r>
            <w:r w:rsidR="00453800">
              <w:t>s opfattelse, at momsfritage principielt</w:t>
            </w:r>
            <w:r>
              <w:t xml:space="preserve"> momspligtige ydelser, som momsfri virksomheder af praktiske årsager modtager fra en sammenslutning eller gruppe, som de er medlem af.</w:t>
            </w:r>
            <w:r w:rsidR="00453800">
              <w:t xml:space="preserve"> Af øk</w:t>
            </w:r>
            <w:r w:rsidR="00453800">
              <w:t>o</w:t>
            </w:r>
            <w:r w:rsidR="00453800">
              <w:t>nomiske årsager kan det således ofte være hensigtsmæssigt at b</w:t>
            </w:r>
            <w:r w:rsidR="00453800">
              <w:t>æ</w:t>
            </w:r>
            <w:r w:rsidR="00453800">
              <w:t>re byrderne i fællesskab, og væ</w:t>
            </w:r>
            <w:r w:rsidR="00453800">
              <w:t>l</w:t>
            </w:r>
            <w:r w:rsidR="00453800">
              <w:t>ger flere momsfritagne virkso</w:t>
            </w:r>
            <w:r w:rsidR="00453800">
              <w:t>m</w:t>
            </w:r>
            <w:r w:rsidR="00453800">
              <w:t>heder at gøre dette, har man valgt at indføre en regel, der l</w:t>
            </w:r>
            <w:r w:rsidR="00453800">
              <w:t>i</w:t>
            </w:r>
            <w:r w:rsidR="00453800">
              <w:t>gestiller sådanne virksomheders momsforhold med momsfo</w:t>
            </w:r>
            <w:r w:rsidR="00453800">
              <w:t>r</w:t>
            </w:r>
            <w:r w:rsidR="00453800">
              <w:t>holdene for momsfritagne vir</w:t>
            </w:r>
            <w:r w:rsidR="00453800">
              <w:t>k</w:t>
            </w:r>
            <w:r w:rsidR="00453800">
              <w:t>somheder, der selv internt udf</w:t>
            </w:r>
            <w:r w:rsidR="00453800">
              <w:t>ø</w:t>
            </w:r>
            <w:r w:rsidR="00453800">
              <w:t>re</w:t>
            </w:r>
            <w:r w:rsidR="00B90745">
              <w:t>r</w:t>
            </w:r>
            <w:r w:rsidR="00453800">
              <w:t xml:space="preserve"> samme opgaver og ydelser.</w:t>
            </w:r>
            <w:r>
              <w:t xml:space="preserve"> </w:t>
            </w:r>
          </w:p>
          <w:p w:rsidR="00453800" w:rsidRDefault="00453800" w:rsidP="00B873A5">
            <w:pPr>
              <w:pStyle w:val="Tabel-BrdtekstmedafstandptekstGaramond"/>
              <w:spacing w:before="0"/>
              <w:ind w:left="184"/>
            </w:pPr>
          </w:p>
          <w:p w:rsidR="00453800" w:rsidRDefault="00453800" w:rsidP="00B873A5">
            <w:pPr>
              <w:pStyle w:val="Tabel-BrdtekstmedafstandptekstGaramond"/>
              <w:spacing w:before="0"/>
              <w:ind w:left="184"/>
            </w:pPr>
            <w:r>
              <w:t>Advokatrådet henstiller</w:t>
            </w:r>
            <w:r w:rsidR="00865D36">
              <w:t>,</w:t>
            </w:r>
            <w:r>
              <w:t xml:space="preserve"> at b</w:t>
            </w:r>
            <w:r>
              <w:t>e</w:t>
            </w:r>
            <w:r>
              <w:t>mærkningerne i forslaget o</w:t>
            </w:r>
            <w:r>
              <w:t>m</w:t>
            </w:r>
            <w:r>
              <w:t>formuleres, således at de giver udtryk for det reelle formål med momsfritagelsesbestemmelsen.</w:t>
            </w:r>
          </w:p>
          <w:p w:rsidR="00574D93" w:rsidRDefault="00574D93" w:rsidP="00B873A5">
            <w:pPr>
              <w:pStyle w:val="Tabel-BrdtekstmedafstandptekstGaramond"/>
              <w:spacing w:before="0"/>
              <w:ind w:left="184"/>
            </w:pPr>
          </w:p>
          <w:p w:rsidR="00BD393B" w:rsidRPr="00A42A86" w:rsidRDefault="00BD393B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2D34F9" w:rsidRPr="00B5346F" w:rsidRDefault="002D34F9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2D34F9" w:rsidRDefault="00453800" w:rsidP="00B873A5">
            <w:pPr>
              <w:pStyle w:val="Tabel-BrdtekstmedafstandptekstGaramond"/>
              <w:spacing w:before="0"/>
              <w:ind w:left="204" w:right="141" w:hanging="21"/>
            </w:pPr>
            <w:r>
              <w:t xml:space="preserve">I </w:t>
            </w:r>
            <w:r w:rsidR="00313693">
              <w:t xml:space="preserve">punkt 3.4.1. i </w:t>
            </w:r>
            <w:r>
              <w:t xml:space="preserve">lovforslagets </w:t>
            </w:r>
            <w:r w:rsidR="00313693">
              <w:t>a</w:t>
            </w:r>
            <w:r w:rsidR="00313693">
              <w:t>l</w:t>
            </w:r>
            <w:r w:rsidR="00313693">
              <w:t xml:space="preserve">mindelige </w:t>
            </w:r>
            <w:r>
              <w:t>bemærkninger</w:t>
            </w:r>
            <w:r w:rsidR="00313693">
              <w:t xml:space="preserve"> anføres</w:t>
            </w:r>
            <w:r w:rsidR="002522DC">
              <w:t>:</w:t>
            </w:r>
          </w:p>
          <w:p w:rsidR="00313693" w:rsidRPr="00313693" w:rsidRDefault="00313693" w:rsidP="00B873A5">
            <w:pPr>
              <w:ind w:left="204" w:right="141"/>
              <w:rPr>
                <w:rFonts w:cs="Times New Roman"/>
                <w:color w:val="000000"/>
                <w:szCs w:val="22"/>
              </w:rPr>
            </w:pPr>
            <w:r w:rsidRPr="00313693">
              <w:rPr>
                <w:szCs w:val="22"/>
              </w:rPr>
              <w:t>”</w:t>
            </w:r>
            <w:r w:rsidRPr="00313693">
              <w:rPr>
                <w:rFonts w:cs="Times New Roman"/>
                <w:color w:val="000000"/>
                <w:szCs w:val="22"/>
              </w:rPr>
              <w:t xml:space="preserve">Momsfri virksomheder – </w:t>
            </w:r>
            <w:r>
              <w:rPr>
                <w:rFonts w:cs="Times New Roman"/>
                <w:color w:val="000000"/>
                <w:szCs w:val="22"/>
              </w:rPr>
              <w:t>f</w:t>
            </w:r>
            <w:r w:rsidRPr="00313693">
              <w:rPr>
                <w:rFonts w:cs="Times New Roman"/>
                <w:color w:val="000000"/>
                <w:szCs w:val="22"/>
              </w:rPr>
              <w:t>.eks. finansielle virksomheder og pe</w:t>
            </w:r>
            <w:r w:rsidRPr="00313693">
              <w:rPr>
                <w:rFonts w:cs="Times New Roman"/>
                <w:color w:val="000000"/>
                <w:szCs w:val="22"/>
              </w:rPr>
              <w:t>r</w:t>
            </w:r>
            <w:r w:rsidRPr="00313693">
              <w:rPr>
                <w:rFonts w:cs="Times New Roman"/>
                <w:color w:val="000000"/>
                <w:szCs w:val="22"/>
              </w:rPr>
              <w:t>sontransportvirksomheder – b</w:t>
            </w:r>
            <w:r w:rsidRPr="00313693">
              <w:rPr>
                <w:rFonts w:cs="Times New Roman"/>
                <w:color w:val="000000"/>
                <w:szCs w:val="22"/>
              </w:rPr>
              <w:t>e</w:t>
            </w:r>
            <w:r w:rsidRPr="00313693">
              <w:rPr>
                <w:rFonts w:cs="Times New Roman"/>
                <w:color w:val="000000"/>
                <w:szCs w:val="22"/>
              </w:rPr>
              <w:t>taler ikke moms af deres ydelser og har heller ikke fradragsret for moms af deres indkøb. Derfor er der et incitament til at udføre flest mulige opgaver internt i virksomheden i stedet for at in</w:t>
            </w:r>
            <w:r w:rsidRPr="00313693">
              <w:rPr>
                <w:rFonts w:cs="Times New Roman"/>
                <w:color w:val="000000"/>
                <w:szCs w:val="22"/>
              </w:rPr>
              <w:t>d</w:t>
            </w:r>
            <w:r w:rsidRPr="00313693">
              <w:rPr>
                <w:rFonts w:cs="Times New Roman"/>
                <w:color w:val="000000"/>
                <w:szCs w:val="22"/>
              </w:rPr>
              <w:t>købe ydelserne med moms, som ikke kan fradrages. Specielt a</w:t>
            </w:r>
            <w:r w:rsidRPr="00313693">
              <w:rPr>
                <w:rFonts w:cs="Times New Roman"/>
                <w:color w:val="000000"/>
                <w:szCs w:val="22"/>
              </w:rPr>
              <w:t>d</w:t>
            </w:r>
            <w:r w:rsidRPr="00313693">
              <w:rPr>
                <w:rFonts w:cs="Times New Roman"/>
                <w:color w:val="000000"/>
                <w:szCs w:val="22"/>
              </w:rPr>
              <w:t>ministrative opgaver og it-opgaver, som virksomheder af samme type bruger, er ofte ret ensartede, og det kan mindske omkostningerne at samle opg</w:t>
            </w:r>
            <w:r w:rsidRPr="00313693">
              <w:rPr>
                <w:rFonts w:cs="Times New Roman"/>
                <w:color w:val="000000"/>
                <w:szCs w:val="22"/>
              </w:rPr>
              <w:t>a</w:t>
            </w:r>
            <w:r w:rsidRPr="00313693">
              <w:rPr>
                <w:rFonts w:cs="Times New Roman"/>
                <w:color w:val="000000"/>
                <w:szCs w:val="22"/>
              </w:rPr>
              <w:t>veløsningen ét sted. Store vir</w:t>
            </w:r>
            <w:r w:rsidRPr="00313693">
              <w:rPr>
                <w:rFonts w:cs="Times New Roman"/>
                <w:color w:val="000000"/>
                <w:szCs w:val="22"/>
              </w:rPr>
              <w:t>k</w:t>
            </w:r>
            <w:r w:rsidRPr="00313693">
              <w:rPr>
                <w:rFonts w:cs="Times New Roman"/>
                <w:color w:val="000000"/>
                <w:szCs w:val="22"/>
              </w:rPr>
              <w:t>somheder kan i højere grad end mindre virksomheder omkos</w:t>
            </w:r>
            <w:r w:rsidRPr="00313693">
              <w:rPr>
                <w:rFonts w:cs="Times New Roman"/>
                <w:color w:val="000000"/>
                <w:szCs w:val="22"/>
              </w:rPr>
              <w:t>t</w:t>
            </w:r>
            <w:r w:rsidRPr="00313693">
              <w:rPr>
                <w:rFonts w:cs="Times New Roman"/>
                <w:color w:val="000000"/>
                <w:szCs w:val="22"/>
              </w:rPr>
              <w:t>ningseffektivt lave alle opgaver internt, men selv i store vir</w:t>
            </w:r>
            <w:r w:rsidRPr="00313693">
              <w:rPr>
                <w:rFonts w:cs="Times New Roman"/>
                <w:color w:val="000000"/>
                <w:szCs w:val="22"/>
              </w:rPr>
              <w:t>k</w:t>
            </w:r>
            <w:r w:rsidRPr="00313693">
              <w:rPr>
                <w:rFonts w:cs="Times New Roman"/>
                <w:color w:val="000000"/>
                <w:szCs w:val="22"/>
              </w:rPr>
              <w:t>somheder kan det være besp</w:t>
            </w:r>
            <w:r w:rsidRPr="00313693">
              <w:rPr>
                <w:rFonts w:cs="Times New Roman"/>
                <w:color w:val="000000"/>
                <w:szCs w:val="22"/>
              </w:rPr>
              <w:t>a</w:t>
            </w:r>
            <w:r w:rsidRPr="00313693">
              <w:rPr>
                <w:rFonts w:cs="Times New Roman"/>
                <w:color w:val="000000"/>
                <w:szCs w:val="22"/>
              </w:rPr>
              <w:t xml:space="preserve">rende at få udført visse opgaver af andre. </w:t>
            </w:r>
          </w:p>
          <w:p w:rsidR="00313693" w:rsidRPr="00313693" w:rsidRDefault="00313693" w:rsidP="00B873A5">
            <w:pPr>
              <w:autoSpaceDE w:val="0"/>
              <w:autoSpaceDN w:val="0"/>
              <w:adjustRightInd w:val="0"/>
              <w:spacing w:line="240" w:lineRule="auto"/>
              <w:ind w:left="204" w:right="141"/>
              <w:rPr>
                <w:rFonts w:cs="Times New Roman"/>
                <w:color w:val="000000"/>
                <w:szCs w:val="22"/>
              </w:rPr>
            </w:pPr>
          </w:p>
          <w:p w:rsidR="00313693" w:rsidRDefault="00313693" w:rsidP="00B873A5">
            <w:pPr>
              <w:pStyle w:val="Tabel-BrdtekstmedafstandptekstGaramond"/>
              <w:spacing w:before="0"/>
              <w:ind w:left="204" w:right="141"/>
              <w:rPr>
                <w:rFonts w:cs="Times New Roman"/>
                <w:color w:val="000000"/>
                <w:szCs w:val="22"/>
              </w:rPr>
            </w:pPr>
            <w:r w:rsidRPr="00313693">
              <w:rPr>
                <w:rFonts w:cs="Times New Roman"/>
                <w:color w:val="000000"/>
                <w:szCs w:val="22"/>
              </w:rPr>
              <w:t>Ved momslovens § 13, stk. 1, nr. 19, er dette incitament til at u</w:t>
            </w:r>
            <w:r w:rsidRPr="00313693">
              <w:rPr>
                <w:rFonts w:cs="Times New Roman"/>
                <w:color w:val="000000"/>
                <w:szCs w:val="22"/>
              </w:rPr>
              <w:t>d</w:t>
            </w:r>
            <w:r w:rsidRPr="00313693">
              <w:rPr>
                <w:rFonts w:cs="Times New Roman"/>
                <w:color w:val="000000"/>
                <w:szCs w:val="22"/>
              </w:rPr>
              <w:t>føre opgaver internt fjernet. E</w:t>
            </w:r>
            <w:r w:rsidRPr="00313693">
              <w:rPr>
                <w:rFonts w:cs="Times New Roman"/>
                <w:color w:val="000000"/>
                <w:szCs w:val="22"/>
              </w:rPr>
              <w:t>f</w:t>
            </w:r>
            <w:r w:rsidRPr="00313693">
              <w:rPr>
                <w:rFonts w:cs="Times New Roman"/>
                <w:color w:val="000000"/>
                <w:szCs w:val="22"/>
              </w:rPr>
              <w:t>ter bestemmelsen kan en sel</w:t>
            </w:r>
            <w:r w:rsidRPr="00313693">
              <w:rPr>
                <w:rFonts w:cs="Times New Roman"/>
                <w:color w:val="000000"/>
                <w:szCs w:val="22"/>
              </w:rPr>
              <w:t>v</w:t>
            </w:r>
            <w:r w:rsidRPr="00313693">
              <w:rPr>
                <w:rFonts w:cs="Times New Roman"/>
                <w:color w:val="000000"/>
                <w:szCs w:val="22"/>
              </w:rPr>
              <w:t>stændig gruppe levere normalt momspligtige ydelser momsfrit til dens medlemmer, så længe der er tale om ren omkostningsdæ</w:t>
            </w:r>
            <w:r w:rsidRPr="00313693">
              <w:rPr>
                <w:rFonts w:cs="Times New Roman"/>
                <w:color w:val="000000"/>
                <w:szCs w:val="22"/>
              </w:rPr>
              <w:t>k</w:t>
            </w:r>
            <w:r w:rsidRPr="00313693">
              <w:rPr>
                <w:rFonts w:cs="Times New Roman"/>
                <w:color w:val="000000"/>
                <w:szCs w:val="22"/>
              </w:rPr>
              <w:t>ket virksomhed, medlemmerne betaler hver deres del af o</w:t>
            </w:r>
            <w:r w:rsidRPr="00313693">
              <w:rPr>
                <w:rFonts w:cs="Times New Roman"/>
                <w:color w:val="000000"/>
                <w:szCs w:val="22"/>
              </w:rPr>
              <w:t>m</w:t>
            </w:r>
            <w:r w:rsidRPr="00313693">
              <w:rPr>
                <w:rFonts w:cs="Times New Roman"/>
                <w:color w:val="000000"/>
                <w:szCs w:val="22"/>
              </w:rPr>
              <w:t xml:space="preserve">kostningerne, og fritagelsen ikke er konkurrenceforvridende. Det er endvidere en betingelse, at ydelserne er direkte nødvendige for medlemmernes momsfri </w:t>
            </w:r>
            <w:r w:rsidRPr="00313693">
              <w:rPr>
                <w:rFonts w:cs="Times New Roman"/>
                <w:color w:val="000000"/>
                <w:szCs w:val="22"/>
              </w:rPr>
              <w:lastRenderedPageBreak/>
              <w:t>virksomhed (f.eks. den finansie</w:t>
            </w:r>
            <w:r w:rsidRPr="00313693">
              <w:rPr>
                <w:rFonts w:cs="Times New Roman"/>
                <w:color w:val="000000"/>
                <w:szCs w:val="22"/>
              </w:rPr>
              <w:t>l</w:t>
            </w:r>
            <w:r w:rsidRPr="00313693">
              <w:rPr>
                <w:rFonts w:cs="Times New Roman"/>
                <w:color w:val="000000"/>
                <w:szCs w:val="22"/>
              </w:rPr>
              <w:t>le virksomhed).</w:t>
            </w:r>
            <w:r>
              <w:rPr>
                <w:rFonts w:cs="Times New Roman"/>
                <w:color w:val="000000"/>
                <w:szCs w:val="22"/>
              </w:rPr>
              <w:t xml:space="preserve">” </w:t>
            </w:r>
          </w:p>
          <w:p w:rsidR="00313693" w:rsidRDefault="00313693" w:rsidP="00B873A5">
            <w:pPr>
              <w:pStyle w:val="Tabel-BrdtekstmedafstandptekstGaramond"/>
              <w:spacing w:before="0"/>
              <w:ind w:left="204" w:right="141"/>
              <w:rPr>
                <w:rFonts w:cs="Times New Roman"/>
                <w:color w:val="000000"/>
                <w:szCs w:val="22"/>
              </w:rPr>
            </w:pPr>
          </w:p>
          <w:p w:rsidR="00313693" w:rsidRDefault="00313693" w:rsidP="00B873A5">
            <w:pPr>
              <w:pStyle w:val="Tabel-BrdtekstmedafstandptekstGaramond"/>
              <w:spacing w:before="0"/>
              <w:ind w:left="204" w:right="141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Det er således incitamentet til at udføre opgaver ineffektivt i</w:t>
            </w:r>
            <w:r>
              <w:rPr>
                <w:rFonts w:cs="Times New Roman"/>
                <w:color w:val="000000"/>
                <w:szCs w:val="22"/>
              </w:rPr>
              <w:t>n</w:t>
            </w:r>
            <w:r>
              <w:rPr>
                <w:rFonts w:cs="Times New Roman"/>
                <w:color w:val="000000"/>
                <w:szCs w:val="22"/>
              </w:rPr>
              <w:t>tern</w:t>
            </w:r>
            <w:r w:rsidR="00B90745">
              <w:rPr>
                <w:rFonts w:cs="Times New Roman"/>
                <w:color w:val="000000"/>
                <w:szCs w:val="22"/>
              </w:rPr>
              <w:t>t</w:t>
            </w:r>
            <w:r>
              <w:rPr>
                <w:rFonts w:cs="Times New Roman"/>
                <w:color w:val="000000"/>
                <w:szCs w:val="22"/>
              </w:rPr>
              <w:t xml:space="preserve"> i virksomheden, frem for at få dem lave</w:t>
            </w:r>
            <w:r w:rsidR="00B90745">
              <w:rPr>
                <w:rFonts w:cs="Times New Roman"/>
                <w:color w:val="000000"/>
                <w:szCs w:val="22"/>
              </w:rPr>
              <w:t>t</w:t>
            </w:r>
            <w:r>
              <w:rPr>
                <w:rFonts w:cs="Times New Roman"/>
                <w:color w:val="000000"/>
                <w:szCs w:val="22"/>
              </w:rPr>
              <w:t xml:space="preserve"> mere effektivt af andre – her momsgruppen – som fjernes ved § 13, stk. 1, nr. 19.</w:t>
            </w:r>
          </w:p>
          <w:p w:rsidR="00313693" w:rsidRDefault="00313693" w:rsidP="00B873A5">
            <w:pPr>
              <w:pStyle w:val="Tabel-BrdtekstmedafstandptekstGaramond"/>
              <w:spacing w:before="0"/>
              <w:ind w:left="204" w:right="141"/>
              <w:rPr>
                <w:rFonts w:cs="Times New Roman"/>
                <w:color w:val="000000"/>
                <w:szCs w:val="22"/>
              </w:rPr>
            </w:pPr>
          </w:p>
          <w:p w:rsidR="00453800" w:rsidRDefault="00B90745" w:rsidP="00B873A5">
            <w:pPr>
              <w:pStyle w:val="Tabel-BrdtekstmedafstandptekstGaramond"/>
              <w:spacing w:before="0"/>
              <w:ind w:left="204" w:right="141"/>
            </w:pPr>
            <w:r>
              <w:rPr>
                <w:rFonts w:cs="Times New Roman"/>
                <w:color w:val="000000"/>
                <w:szCs w:val="22"/>
              </w:rPr>
              <w:t>Skatteminis</w:t>
            </w:r>
            <w:r w:rsidR="00865D36">
              <w:rPr>
                <w:rFonts w:cs="Times New Roman"/>
                <w:color w:val="000000"/>
                <w:szCs w:val="22"/>
              </w:rPr>
              <w:t xml:space="preserve">teriet er ikke </w:t>
            </w:r>
            <w:proofErr w:type="gramStart"/>
            <w:r w:rsidR="00865D36">
              <w:rPr>
                <w:rFonts w:cs="Times New Roman"/>
                <w:color w:val="000000"/>
                <w:szCs w:val="22"/>
              </w:rPr>
              <w:t>uenig</w:t>
            </w:r>
            <w:proofErr w:type="gramEnd"/>
            <w:r w:rsidR="00865D36">
              <w:rPr>
                <w:rFonts w:cs="Times New Roman"/>
                <w:color w:val="000000"/>
                <w:szCs w:val="22"/>
              </w:rPr>
              <w:t xml:space="preserve"> med Advokatrådet i formålet med momslovens § 13, stk. 1, nr. 1</w:t>
            </w:r>
            <w:r w:rsidR="002522DC">
              <w:rPr>
                <w:rFonts w:cs="Times New Roman"/>
                <w:color w:val="000000"/>
                <w:szCs w:val="22"/>
              </w:rPr>
              <w:t>9</w:t>
            </w:r>
            <w:r w:rsidR="00865D36">
              <w:rPr>
                <w:rFonts w:cs="Times New Roman"/>
                <w:color w:val="000000"/>
                <w:szCs w:val="22"/>
              </w:rPr>
              <w:t>. Læses lovforslagets bemær</w:t>
            </w:r>
            <w:r w:rsidR="00865D36">
              <w:rPr>
                <w:rFonts w:cs="Times New Roman"/>
                <w:color w:val="000000"/>
                <w:szCs w:val="22"/>
              </w:rPr>
              <w:t>k</w:t>
            </w:r>
            <w:r w:rsidR="00865D36">
              <w:rPr>
                <w:rFonts w:cs="Times New Roman"/>
                <w:color w:val="000000"/>
                <w:szCs w:val="22"/>
              </w:rPr>
              <w:t xml:space="preserve">ninger </w:t>
            </w:r>
            <w:r w:rsidR="002522DC">
              <w:rPr>
                <w:rFonts w:cs="Times New Roman"/>
                <w:color w:val="000000"/>
                <w:szCs w:val="22"/>
              </w:rPr>
              <w:t xml:space="preserve">imidlertid i deres </w:t>
            </w:r>
            <w:r w:rsidR="00865D36">
              <w:rPr>
                <w:rFonts w:cs="Times New Roman"/>
                <w:color w:val="000000"/>
                <w:szCs w:val="22"/>
              </w:rPr>
              <w:t>helhed</w:t>
            </w:r>
            <w:r w:rsidR="009C0DB6">
              <w:rPr>
                <w:rFonts w:cs="Times New Roman"/>
                <w:color w:val="000000"/>
                <w:szCs w:val="22"/>
              </w:rPr>
              <w:t>,</w:t>
            </w:r>
            <w:r w:rsidR="00865D36">
              <w:rPr>
                <w:rFonts w:cs="Times New Roman"/>
                <w:color w:val="000000"/>
                <w:szCs w:val="22"/>
              </w:rPr>
              <w:t xml:space="preserve"> give</w:t>
            </w:r>
            <w:r w:rsidR="00B873A5">
              <w:rPr>
                <w:rFonts w:cs="Times New Roman"/>
                <w:color w:val="000000"/>
                <w:szCs w:val="22"/>
              </w:rPr>
              <w:t>s</w:t>
            </w:r>
            <w:r w:rsidR="00865D36">
              <w:rPr>
                <w:rFonts w:cs="Times New Roman"/>
                <w:color w:val="000000"/>
                <w:szCs w:val="22"/>
              </w:rPr>
              <w:t xml:space="preserve"> et re</w:t>
            </w:r>
            <w:r w:rsidR="00880222">
              <w:rPr>
                <w:rFonts w:cs="Times New Roman"/>
                <w:color w:val="000000"/>
                <w:szCs w:val="22"/>
              </w:rPr>
              <w:t>t</w:t>
            </w:r>
            <w:r w:rsidR="00865D36">
              <w:rPr>
                <w:rFonts w:cs="Times New Roman"/>
                <w:color w:val="000000"/>
                <w:szCs w:val="22"/>
              </w:rPr>
              <w:t>visende billede af formålet med bestemmelsen.</w:t>
            </w:r>
          </w:p>
        </w:tc>
      </w:tr>
      <w:tr w:rsidR="00865D36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Pr="00A42A86" w:rsidRDefault="00865D36" w:rsidP="007B2B3B">
            <w:pPr>
              <w:pStyle w:val="Tabel-BrdtekstmedafstandptekstGaramond"/>
              <w:spacing w:before="0"/>
            </w:pPr>
            <w:r>
              <w:lastRenderedPageBreak/>
              <w:t xml:space="preserve">Akademikerne </w:t>
            </w:r>
          </w:p>
        </w:tc>
        <w:tc>
          <w:tcPr>
            <w:tcW w:w="132" w:type="dxa"/>
            <w:shd w:val="clear" w:color="auto" w:fill="FFFFFF" w:themeFill="background1"/>
          </w:tcPr>
          <w:p w:rsidR="00865D36" w:rsidRPr="00A42A86" w:rsidRDefault="00865D36" w:rsidP="007B2B3B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Default="00865D36" w:rsidP="00B873A5">
            <w:pPr>
              <w:pStyle w:val="Tabel-BrdtekstmedafstandptekstGaramond"/>
              <w:spacing w:before="0"/>
              <w:ind w:left="184"/>
            </w:pPr>
            <w:r>
              <w:t>Akademikerne har ingen b</w:t>
            </w:r>
            <w:r>
              <w:t>e</w:t>
            </w:r>
            <w:r>
              <w:t>mærkninger.</w:t>
            </w:r>
          </w:p>
          <w:p w:rsidR="002522DC" w:rsidRPr="00A42A86" w:rsidRDefault="002522DC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865D36" w:rsidRPr="00B5346F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65D36" w:rsidRDefault="00865D36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865D36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Pr="00A42A86" w:rsidRDefault="00865D36" w:rsidP="00255FEA">
            <w:pPr>
              <w:pStyle w:val="Tabel-BrdtekstmedafstandptekstGaramond"/>
              <w:spacing w:before="0"/>
            </w:pPr>
            <w:r w:rsidRPr="00A42A86">
              <w:t>Dansk Erhverv</w:t>
            </w:r>
          </w:p>
        </w:tc>
        <w:tc>
          <w:tcPr>
            <w:tcW w:w="132" w:type="dxa"/>
            <w:shd w:val="clear" w:color="auto" w:fill="FFFFFF" w:themeFill="background1"/>
          </w:tcPr>
          <w:p w:rsidR="00865D36" w:rsidRPr="00A42A86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02120" w:rsidRDefault="00902120" w:rsidP="00B873A5">
            <w:pPr>
              <w:pStyle w:val="Tabel-BrdtekstmedafstandptekstGaramond"/>
              <w:spacing w:before="0"/>
              <w:ind w:left="184"/>
            </w:pPr>
            <w:r>
              <w:t>Dansk Erhverv kritiserer, at h</w:t>
            </w:r>
            <w:r>
              <w:t>ø</w:t>
            </w:r>
            <w:r>
              <w:t xml:space="preserve">ringsfristen kun </w:t>
            </w:r>
            <w:r w:rsidR="004B3917">
              <w:t>har vært</w:t>
            </w:r>
            <w:r>
              <w:t xml:space="preserve"> en uge, idet det med så kort høringsfrist bliver svært at nå at få input</w:t>
            </w:r>
            <w:r w:rsidR="00B90745">
              <w:t xml:space="preserve"> fra baglandet og dermed levere</w:t>
            </w:r>
            <w:r>
              <w:t xml:space="preserve"> et fyldestgørende høringssvar. Endvidere anføres, at Skattem</w:t>
            </w:r>
            <w:r>
              <w:t>i</w:t>
            </w:r>
            <w:r>
              <w:t xml:space="preserve">nisteriet burde have gjort mere for at fremhæve ændringer. </w:t>
            </w:r>
          </w:p>
          <w:p w:rsidR="00902120" w:rsidRDefault="00902120" w:rsidP="00B873A5">
            <w:pPr>
              <w:pStyle w:val="Tabel-BrdtekstmedafstandptekstGaramond"/>
              <w:spacing w:before="0"/>
              <w:ind w:left="184"/>
            </w:pPr>
          </w:p>
          <w:p w:rsidR="00865D36" w:rsidRDefault="00902120" w:rsidP="00B873A5">
            <w:pPr>
              <w:pStyle w:val="Tabel-BrdtekstmedafstandptekstGaramond"/>
              <w:spacing w:before="0"/>
              <w:ind w:left="184"/>
            </w:pPr>
            <w:r>
              <w:t>Dansk Erhverv har ikke nogen umiddelbare bemærkninger til selve lovforslaget om lønsum</w:t>
            </w:r>
            <w:r>
              <w:t>s</w:t>
            </w:r>
            <w:r>
              <w:t>afgiften.</w:t>
            </w:r>
            <w:r w:rsidR="00865D36" w:rsidRPr="00A42A86">
              <w:t xml:space="preserve"> </w:t>
            </w:r>
          </w:p>
          <w:p w:rsidR="004B3917" w:rsidRPr="00A42A86" w:rsidRDefault="004B3917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865D36" w:rsidRPr="00B5346F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65D36" w:rsidRPr="00B5346F" w:rsidRDefault="00902120" w:rsidP="00B873A5">
            <w:pPr>
              <w:pStyle w:val="Tabel-BrdtekstmedafstandptekstGaramond"/>
              <w:spacing w:before="0"/>
              <w:ind w:left="204" w:right="141"/>
            </w:pPr>
            <w:r>
              <w:t xml:space="preserve">Forslaget anses som en </w:t>
            </w:r>
            <w:proofErr w:type="spellStart"/>
            <w:r>
              <w:t>værnsr</w:t>
            </w:r>
            <w:r>
              <w:t>e</w:t>
            </w:r>
            <w:r>
              <w:t>gel</w:t>
            </w:r>
            <w:proofErr w:type="spellEnd"/>
            <w:r>
              <w:t xml:space="preserve"> mod tab af provenu, jf. kommentaren til Forsikring &amp; Pension. De ændringer i L 64, som vedrører forslaget om æ</w:t>
            </w:r>
            <w:r>
              <w:t>n</w:t>
            </w:r>
            <w:r>
              <w:t>dring i lov om lønsumsafgift, var markerede ved udsendelse af h</w:t>
            </w:r>
            <w:r>
              <w:t>ø</w:t>
            </w:r>
            <w:r>
              <w:t>ringsmaterialet.</w:t>
            </w:r>
          </w:p>
        </w:tc>
      </w:tr>
      <w:tr w:rsidR="00B11EAB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11EAB" w:rsidRPr="00A42A86" w:rsidRDefault="00B11EAB" w:rsidP="00255FEA">
            <w:pPr>
              <w:pStyle w:val="Tabel-BrdtekstmedafstandptekstGaramond"/>
              <w:spacing w:before="0"/>
            </w:pPr>
            <w:r>
              <w:t>Dansk Industri (DI)</w:t>
            </w:r>
          </w:p>
        </w:tc>
        <w:tc>
          <w:tcPr>
            <w:tcW w:w="132" w:type="dxa"/>
            <w:shd w:val="clear" w:color="auto" w:fill="FFFFFF" w:themeFill="background1"/>
          </w:tcPr>
          <w:p w:rsidR="00B11EAB" w:rsidRPr="00A42A86" w:rsidRDefault="00B11EAB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11EAB" w:rsidRDefault="00B11EAB" w:rsidP="00B873A5">
            <w:pPr>
              <w:pStyle w:val="Tabel-BrdtekstmedafstandptekstGaramond"/>
              <w:spacing w:before="0"/>
              <w:ind w:left="184"/>
            </w:pPr>
            <w:r>
              <w:t>DI har ingen bemærkninger.</w:t>
            </w:r>
          </w:p>
          <w:p w:rsidR="004B3917" w:rsidRDefault="004B3917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B11EAB" w:rsidRPr="00B5346F" w:rsidRDefault="00B11EAB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11EAB" w:rsidRDefault="00B11EAB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865D36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Pr="00A42A86" w:rsidRDefault="00865D36" w:rsidP="00255FEA">
            <w:pPr>
              <w:pStyle w:val="Tabel-BrdtekstmedafstandptekstGaramond"/>
              <w:spacing w:before="0"/>
            </w:pPr>
            <w:r w:rsidRPr="00A42A86">
              <w:t>Datatilsynet</w:t>
            </w:r>
          </w:p>
        </w:tc>
        <w:tc>
          <w:tcPr>
            <w:tcW w:w="132" w:type="dxa"/>
            <w:shd w:val="clear" w:color="auto" w:fill="FFFFFF" w:themeFill="background1"/>
          </w:tcPr>
          <w:p w:rsidR="00865D36" w:rsidRPr="00A42A86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Default="00902120" w:rsidP="00B873A5">
            <w:pPr>
              <w:pStyle w:val="Tabel-BrdtekstmedafstandptekstGaramond"/>
              <w:spacing w:before="0"/>
              <w:ind w:left="184"/>
            </w:pPr>
            <w:r>
              <w:t xml:space="preserve">Forslaget giver ikke </w:t>
            </w:r>
            <w:r w:rsidR="004B3917">
              <w:t>D</w:t>
            </w:r>
            <w:r>
              <w:t>atatilsynet anledning til at komme med b</w:t>
            </w:r>
            <w:r>
              <w:t>e</w:t>
            </w:r>
            <w:r>
              <w:t>mærkninger.</w:t>
            </w:r>
            <w:r w:rsidR="00865D36" w:rsidRPr="00A42A86">
              <w:t xml:space="preserve"> </w:t>
            </w:r>
          </w:p>
          <w:p w:rsidR="004B3917" w:rsidRPr="00A42A86" w:rsidRDefault="004B3917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865D36" w:rsidRPr="004200E5" w:rsidRDefault="00865D36" w:rsidP="00255FEA">
            <w:pPr>
              <w:pStyle w:val="Tabel-BrdtekstmedafstandptekstGaramond"/>
              <w:spacing w:before="0"/>
              <w:rPr>
                <w:highlight w:val="yellow"/>
              </w:rPr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65D36" w:rsidRPr="004200E5" w:rsidRDefault="00865D36" w:rsidP="00B873A5">
            <w:pPr>
              <w:ind w:left="204" w:right="141"/>
              <w:rPr>
                <w:highlight w:val="yellow"/>
              </w:rPr>
            </w:pPr>
          </w:p>
        </w:tc>
      </w:tr>
      <w:tr w:rsidR="00865D36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Pr="00D508EE" w:rsidRDefault="007B2B3B" w:rsidP="00255FEA">
            <w:pPr>
              <w:pStyle w:val="Tabel-BrdtekstmedafstandptekstGaramond"/>
              <w:spacing w:before="0"/>
            </w:pPr>
            <w:r>
              <w:lastRenderedPageBreak/>
              <w:t>Finanssektorens Arbejd</w:t>
            </w:r>
            <w:r>
              <w:t>s</w:t>
            </w:r>
            <w:r>
              <w:t>giverforening(FA)</w:t>
            </w:r>
          </w:p>
        </w:tc>
        <w:tc>
          <w:tcPr>
            <w:tcW w:w="132" w:type="dxa"/>
            <w:shd w:val="clear" w:color="auto" w:fill="FFFFFF" w:themeFill="background1"/>
          </w:tcPr>
          <w:p w:rsidR="00865D36" w:rsidRPr="00B5346F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65D36" w:rsidRDefault="007B2B3B" w:rsidP="00B873A5">
            <w:pPr>
              <w:pStyle w:val="Tabel-BrdtekstmedafstandptekstGaramond"/>
              <w:spacing w:before="0"/>
              <w:ind w:left="184"/>
            </w:pPr>
            <w:r>
              <w:t>FA anfører, at høringssvaret al</w:t>
            </w:r>
            <w:r>
              <w:t>e</w:t>
            </w:r>
            <w:r>
              <w:t>ne har fokus på den beskæftige</w:t>
            </w:r>
            <w:r>
              <w:t>l</w:t>
            </w:r>
            <w:r>
              <w:t>sesmæssige konsekvens af fo</w:t>
            </w:r>
            <w:r>
              <w:t>r</w:t>
            </w:r>
            <w:r>
              <w:t>slaget. FA henviser i øvrigt til brancheorganisationernes h</w:t>
            </w:r>
            <w:r>
              <w:t>ø</w:t>
            </w:r>
            <w:r>
              <w:t>ringssvar.</w:t>
            </w:r>
          </w:p>
          <w:p w:rsidR="007B2B3B" w:rsidRDefault="007B2B3B" w:rsidP="00B873A5">
            <w:pPr>
              <w:pStyle w:val="Tabel-BrdtekstmedafstandptekstGaramond"/>
              <w:spacing w:before="0"/>
              <w:ind w:left="184"/>
            </w:pPr>
          </w:p>
          <w:p w:rsidR="005C11E0" w:rsidRDefault="0097460E" w:rsidP="00B873A5">
            <w:pPr>
              <w:pStyle w:val="Tabel-BrdtekstmedafstandptekstGaramond"/>
              <w:spacing w:before="0"/>
              <w:ind w:left="184"/>
            </w:pPr>
            <w:r>
              <w:t>FA bemærker, at lovforslaget e</w:t>
            </w:r>
            <w:r>
              <w:t>f</w:t>
            </w:r>
            <w:r>
              <w:t>ter bemærkningerne tilsigter at forøge statens provenu ved lø</w:t>
            </w:r>
            <w:r>
              <w:t>n</w:t>
            </w:r>
            <w:r>
              <w:t>sumsafgiften ud over, hvad der allerede er hjemmel til. Der er således tale om en forøgelse af finansielle virksomheders bet</w:t>
            </w:r>
            <w:r>
              <w:t>a</w:t>
            </w:r>
            <w:r>
              <w:t xml:space="preserve">ling af lønsumsafgift. </w:t>
            </w:r>
          </w:p>
          <w:p w:rsidR="005C11E0" w:rsidRDefault="005C11E0" w:rsidP="00B873A5">
            <w:pPr>
              <w:pStyle w:val="Tabel-BrdtekstmedafstandptekstGaramond"/>
              <w:spacing w:before="0"/>
              <w:ind w:left="184"/>
            </w:pPr>
          </w:p>
          <w:p w:rsidR="005C11E0" w:rsidRDefault="005C11E0" w:rsidP="00B873A5">
            <w:pPr>
              <w:pStyle w:val="Tabel-BrdtekstmedafstandptekstGaramond"/>
              <w:spacing w:before="0"/>
              <w:ind w:left="184"/>
            </w:pPr>
          </w:p>
          <w:p w:rsidR="005C11E0" w:rsidRDefault="005C11E0" w:rsidP="00B873A5">
            <w:pPr>
              <w:pStyle w:val="Tabel-BrdtekstmedafstandptekstGaramond"/>
              <w:spacing w:before="0"/>
              <w:ind w:left="184"/>
            </w:pPr>
          </w:p>
          <w:p w:rsidR="005C11E0" w:rsidRDefault="005C11E0" w:rsidP="00B873A5">
            <w:pPr>
              <w:pStyle w:val="Tabel-BrdtekstmedafstandptekstGaramond"/>
              <w:spacing w:before="0"/>
              <w:ind w:left="184"/>
            </w:pPr>
          </w:p>
          <w:p w:rsidR="005C11E0" w:rsidRDefault="005C11E0" w:rsidP="00B873A5">
            <w:pPr>
              <w:pStyle w:val="Tabel-BrdtekstmedafstandptekstGaramond"/>
              <w:spacing w:before="0"/>
              <w:ind w:left="184"/>
            </w:pPr>
          </w:p>
          <w:p w:rsidR="004B3917" w:rsidRDefault="004B3917" w:rsidP="00B873A5">
            <w:pPr>
              <w:pStyle w:val="Tabel-BrdtekstmedafstandptekstGaramond"/>
              <w:spacing w:before="0"/>
              <w:ind w:left="184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184"/>
            </w:pPr>
            <w:r>
              <w:t>FA gør opmærksom på, at øgede udgifter til person</w:t>
            </w:r>
            <w:r w:rsidR="005C11E0">
              <w:t>a</w:t>
            </w:r>
            <w:r>
              <w:t>le må påre</w:t>
            </w:r>
            <w:r>
              <w:t>g</w:t>
            </w:r>
            <w:r>
              <w:t>nes at føre til tilpasni</w:t>
            </w:r>
            <w:r w:rsidR="005C11E0">
              <w:t>n</w:t>
            </w:r>
            <w:r>
              <w:t>g af pe</w:t>
            </w:r>
            <w:r>
              <w:t>r</w:t>
            </w:r>
            <w:r>
              <w:t>sonaleomkostningerne, dvs. a</w:t>
            </w:r>
            <w:r>
              <w:t>n</w:t>
            </w:r>
            <w:r>
              <w:t>tallet af ansatte. Den øgede, ikke ubetydelige, omkostning, der følger af forslaget, kan betyde, a</w:t>
            </w:r>
            <w:r w:rsidR="004B3917">
              <w:t>t</w:t>
            </w:r>
            <w:r>
              <w:t xml:space="preserve"> fx it-opgaver vil blive outsourcet til virksomheder uden for den finansielle sektor, evt. i udlandet.</w:t>
            </w:r>
          </w:p>
          <w:p w:rsidR="0097460E" w:rsidRDefault="0097460E" w:rsidP="00B873A5">
            <w:pPr>
              <w:pStyle w:val="Tabel-BrdtekstmedafstandptekstGaramond"/>
              <w:spacing w:before="0"/>
              <w:ind w:left="184"/>
            </w:pPr>
          </w:p>
          <w:p w:rsidR="0097460E" w:rsidRDefault="007B2B3B" w:rsidP="00B873A5">
            <w:pPr>
              <w:pStyle w:val="Tabel-BrdtekstmedafstandptekstGaramond"/>
              <w:spacing w:before="0"/>
              <w:ind w:left="184"/>
            </w:pPr>
            <w:r>
              <w:t>FA anfører, at det af de almind</w:t>
            </w:r>
            <w:r>
              <w:t>e</w:t>
            </w:r>
            <w:r>
              <w:t>lige bemærkninger til L 64 fre</w:t>
            </w:r>
            <w:r>
              <w:t>m</w:t>
            </w:r>
            <w:r>
              <w:t>går, at regeringen ønsker at u</w:t>
            </w:r>
            <w:r>
              <w:t>n</w:t>
            </w:r>
            <w:r>
              <w:t>derstøtte danske virksomheders konkurrenceevne og vækst- og udviklingsmuligh</w:t>
            </w:r>
            <w:r w:rsidR="0097460E">
              <w:t>e</w:t>
            </w:r>
            <w:r>
              <w:t>der.</w:t>
            </w:r>
            <w:r w:rsidR="0097460E">
              <w:t xml:space="preserve"> FA u</w:t>
            </w:r>
            <w:r w:rsidR="0097460E">
              <w:t>n</w:t>
            </w:r>
            <w:r w:rsidR="0097460E">
              <w:t>drer sig over, at forslaget om ændring af lov om lønsumsafgift indgår i det fremsatte samlelo</w:t>
            </w:r>
            <w:r w:rsidR="0097460E">
              <w:t>v</w:t>
            </w:r>
            <w:r w:rsidR="0097460E">
              <w:t xml:space="preserve">forslag, da det ikke understøtter samlelovforslagets overordnede </w:t>
            </w:r>
            <w:r w:rsidR="0097460E">
              <w:lastRenderedPageBreak/>
              <w:t>hensigt om at sikre bedre vilkår for udvikling og vækst i vir</w:t>
            </w:r>
            <w:r w:rsidR="0097460E">
              <w:t>k</w:t>
            </w:r>
            <w:r w:rsidR="0097460E">
              <w:t>somhederne.</w:t>
            </w:r>
          </w:p>
          <w:p w:rsidR="001F00F7" w:rsidRDefault="001F00F7" w:rsidP="00B873A5">
            <w:pPr>
              <w:pStyle w:val="Tabel-BrdtekstmedafstandptekstGaramond"/>
              <w:spacing w:before="0"/>
              <w:ind w:left="184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184"/>
            </w:pPr>
            <w:r>
              <w:t>Endelig anfører FA, at det er utilfredsstillende, at forslaget i</w:t>
            </w:r>
            <w:r>
              <w:t>k</w:t>
            </w:r>
            <w:r>
              <w:t>ke blev sendt i høring sammen med de øvrige dele af samlelo</w:t>
            </w:r>
            <w:r>
              <w:t>v</w:t>
            </w:r>
            <w:r>
              <w:t xml:space="preserve">forslaget, og at </w:t>
            </w:r>
            <w:r w:rsidR="00E229E1">
              <w:t>d</w:t>
            </w:r>
            <w:r>
              <w:t>er er givet en usædvanlig kort frist for b</w:t>
            </w:r>
            <w:r>
              <w:t>e</w:t>
            </w:r>
            <w:r>
              <w:t>mærkninger til forslaget.</w:t>
            </w:r>
          </w:p>
          <w:p w:rsidR="007B2B3B" w:rsidRPr="00C46A79" w:rsidRDefault="007B2B3B" w:rsidP="00B873A5">
            <w:pPr>
              <w:pStyle w:val="Tabel-BrdtekstmedafstandptekstGaramond"/>
              <w:spacing w:before="0"/>
              <w:ind w:left="184"/>
            </w:pPr>
            <w:r>
              <w:t xml:space="preserve"> </w:t>
            </w:r>
          </w:p>
        </w:tc>
        <w:tc>
          <w:tcPr>
            <w:tcW w:w="443" w:type="dxa"/>
            <w:shd w:val="clear" w:color="auto" w:fill="FFFFFF" w:themeFill="background1"/>
          </w:tcPr>
          <w:p w:rsidR="00865D36" w:rsidRPr="00B5346F" w:rsidRDefault="00865D36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65D36" w:rsidRDefault="00865D36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97460E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/>
            </w:pPr>
          </w:p>
          <w:p w:rsidR="0097460E" w:rsidRDefault="005C11E0" w:rsidP="00B873A5">
            <w:pPr>
              <w:pStyle w:val="Tabel-BrdtekstmedafstandptekstGaramond"/>
              <w:spacing w:before="0"/>
              <w:ind w:left="204" w:right="141"/>
            </w:pPr>
            <w:r>
              <w:t>Forslaget har alene til formål at forhindre et utilsigtet mindr</w:t>
            </w:r>
            <w:r>
              <w:t>e</w:t>
            </w:r>
            <w:r>
              <w:t>provenu, som vil opstå, såfremt forslaget ikke bliver gennemført</w:t>
            </w:r>
            <w:r w:rsidR="004B3917">
              <w:t xml:space="preserve">. </w:t>
            </w:r>
            <w:proofErr w:type="spellStart"/>
            <w:r w:rsidR="004B3917">
              <w:t>Mindreprovenuet</w:t>
            </w:r>
            <w:proofErr w:type="spellEnd"/>
            <w:r w:rsidR="004B3917">
              <w:t xml:space="preserve"> vil </w:t>
            </w:r>
            <w:r w:rsidR="00F1563C">
              <w:t>opstå</w:t>
            </w:r>
            <w:r w:rsidR="004B3917">
              <w:t>, hvis</w:t>
            </w:r>
            <w:r>
              <w:t xml:space="preserve"> virksomheder inden</w:t>
            </w:r>
            <w:r w:rsidR="004B3917">
              <w:t xml:space="preserve"> </w:t>
            </w:r>
            <w:r>
              <w:t>for den f</w:t>
            </w:r>
            <w:r>
              <w:t>i</w:t>
            </w:r>
            <w:r>
              <w:t>nansielle sektor begynd</w:t>
            </w:r>
            <w:r w:rsidR="004B3917">
              <w:t>er</w:t>
            </w:r>
            <w:r>
              <w:t xml:space="preserve"> at da</w:t>
            </w:r>
            <w:r>
              <w:t>n</w:t>
            </w:r>
            <w:r>
              <w:t>ne selvstændige momsgrupper med henblik på at opnå besp</w:t>
            </w:r>
            <w:r>
              <w:t>a</w:t>
            </w:r>
            <w:r>
              <w:t>relse i lønsumsafgiften. Forslaget tilsigter således ikke at forøge statens provenu ved lønsumsa</w:t>
            </w:r>
            <w:r>
              <w:t>f</w:t>
            </w:r>
            <w:r>
              <w:t xml:space="preserve">giften. </w:t>
            </w:r>
          </w:p>
          <w:p w:rsidR="005C11E0" w:rsidRDefault="005C11E0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5C11E0" w:rsidP="00B873A5">
            <w:pPr>
              <w:pStyle w:val="Tabel-BrdtekstmedafstandptekstGaramond"/>
              <w:spacing w:before="0"/>
              <w:ind w:left="204" w:right="141"/>
            </w:pPr>
            <w:r>
              <w:t>Forslaget sikre</w:t>
            </w:r>
            <w:r w:rsidR="00B90745">
              <w:t>r</w:t>
            </w:r>
            <w:r>
              <w:t xml:space="preserve">, at </w:t>
            </w:r>
            <w:r w:rsidR="00E229E1">
              <w:t>der er ens u</w:t>
            </w:r>
            <w:r w:rsidR="00E229E1">
              <w:t>d</w:t>
            </w:r>
            <w:r w:rsidR="00E229E1">
              <w:t xml:space="preserve">gifter til </w:t>
            </w:r>
            <w:r w:rsidR="00F1563C">
              <w:t>lønsumsafgift</w:t>
            </w:r>
            <w:r w:rsidR="00723838">
              <w:t>,</w:t>
            </w:r>
            <w:bookmarkStart w:id="1" w:name="_GoBack"/>
            <w:bookmarkEnd w:id="1"/>
            <w:r w:rsidR="00F1563C">
              <w:t xml:space="preserve"> </w:t>
            </w:r>
            <w:r w:rsidR="00723838">
              <w:t>uanset</w:t>
            </w:r>
            <w:r w:rsidR="00E229E1">
              <w:t xml:space="preserve"> om en opgave udføres internt i en finansiel virksomhed eller i en momsgruppe. </w:t>
            </w:r>
            <w:r w:rsidR="00B90745">
              <w:t>Jf. ovenfor me</w:t>
            </w:r>
            <w:r w:rsidR="00B90745">
              <w:t>d</w:t>
            </w:r>
            <w:r w:rsidR="00B90745">
              <w:t>fører forslaget ikke et merprov</w:t>
            </w:r>
            <w:r w:rsidR="00B90745">
              <w:t>e</w:t>
            </w:r>
            <w:r w:rsidR="00B90745">
              <w:t>nu.</w:t>
            </w: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F1563C" w:rsidRDefault="00F1563C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  <w:r>
              <w:t>Da forslaget om ændring af lov om lønsumsafgift alene sikrer mod et fremtidigt mindreprov</w:t>
            </w:r>
            <w:r>
              <w:t>e</w:t>
            </w:r>
            <w:r>
              <w:t>nu, er forslaget ikke i uoveren</w:t>
            </w:r>
            <w:r>
              <w:t>s</w:t>
            </w:r>
            <w:r>
              <w:t>stemmelse med det overordnede formål i L 64.</w:t>
            </w: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</w:p>
          <w:p w:rsidR="001F00F7" w:rsidRDefault="001F00F7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/>
            </w:pPr>
          </w:p>
          <w:p w:rsidR="00E229E1" w:rsidRDefault="00E229E1" w:rsidP="00B873A5">
            <w:pPr>
              <w:pStyle w:val="Tabel-BrdtekstmedafstandptekstGaramond"/>
              <w:spacing w:before="0"/>
              <w:ind w:left="204" w:right="141"/>
            </w:pPr>
            <w:r>
              <w:t>Der henvises til kommentaren til Forsikring &amp; Pension.</w:t>
            </w:r>
          </w:p>
          <w:p w:rsidR="00E229E1" w:rsidRPr="00B5346F" w:rsidRDefault="00E229E1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A42A86" w:rsidRDefault="009A2717" w:rsidP="005745C8">
            <w:pPr>
              <w:pStyle w:val="Tabel-BrdtekstmedafstandptekstGaramond"/>
              <w:spacing w:before="0"/>
            </w:pPr>
            <w:r w:rsidRPr="00A42A86">
              <w:lastRenderedPageBreak/>
              <w:t>Finanstilsynet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A42A86" w:rsidRDefault="009A2717" w:rsidP="005745C8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Default="00B36F9A" w:rsidP="00B873A5">
            <w:pPr>
              <w:pStyle w:val="Tabel-BrdtekstmedafstandptekstGaramond"/>
              <w:spacing w:before="0"/>
              <w:ind w:left="184"/>
            </w:pPr>
            <w:r>
              <w:t>Finanstilsynet har i</w:t>
            </w:r>
            <w:r w:rsidR="009A2717" w:rsidRPr="00A42A86">
              <w:t>ngen b</w:t>
            </w:r>
            <w:r w:rsidR="009A2717" w:rsidRPr="00A42A86">
              <w:t>e</w:t>
            </w:r>
            <w:r w:rsidR="009A2717" w:rsidRPr="00A42A86">
              <w:t>mærkninger</w:t>
            </w:r>
            <w:r>
              <w:t>.</w:t>
            </w:r>
          </w:p>
          <w:p w:rsidR="00F1563C" w:rsidRPr="00A42A86" w:rsidRDefault="00F1563C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A42A86" w:rsidRDefault="009A2717" w:rsidP="005745C8">
            <w:pPr>
              <w:pStyle w:val="Tabel-BrdtekstmedafstandptekstGaramond"/>
              <w:spacing w:before="0"/>
            </w:pPr>
            <w:r>
              <w:t>Finansrådet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A42A86" w:rsidRDefault="009A2717" w:rsidP="005745C8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>
              <w:t>Finansrådet stiller spørgsmål</w:t>
            </w:r>
            <w:r>
              <w:t>s</w:t>
            </w:r>
            <w:r>
              <w:t xml:space="preserve">tegn ved, om der er tale om en </w:t>
            </w:r>
            <w:proofErr w:type="spellStart"/>
            <w:r>
              <w:t>værnsregel</w:t>
            </w:r>
            <w:proofErr w:type="spellEnd"/>
            <w:r>
              <w:t xml:space="preserve"> i ordets egentlige b</w:t>
            </w:r>
            <w:r>
              <w:t>e</w:t>
            </w:r>
            <w:r>
              <w:t>tydning eller blot en ny regel, som kunne være sendt i høring med almindelige frister.</w:t>
            </w:r>
            <w:r w:rsidR="003708B4">
              <w:t xml:space="preserve"> </w:t>
            </w:r>
            <w:r>
              <w:t>Finan</w:t>
            </w:r>
            <w:r>
              <w:t>s</w:t>
            </w:r>
            <w:r>
              <w:t xml:space="preserve">rådet beklager den meget korte høringsfrist, der </w:t>
            </w:r>
            <w:r w:rsidR="003708B4">
              <w:t>er i strid med regeringens egen målsætning om god lovkvalitet og risikerer at gå ud over høringssvarernes kval</w:t>
            </w:r>
            <w:r w:rsidR="003708B4">
              <w:t>i</w:t>
            </w:r>
            <w:r w:rsidR="003708B4">
              <w:t>tet og dermed lovkvaliteten g</w:t>
            </w:r>
            <w:r w:rsidR="003708B4">
              <w:t>e</w:t>
            </w:r>
            <w:r w:rsidR="003708B4">
              <w:t>nerelt.</w:t>
            </w:r>
          </w:p>
          <w:p w:rsidR="003708B4" w:rsidRDefault="003708B4" w:rsidP="00B873A5">
            <w:pPr>
              <w:pStyle w:val="Tabel-BrdtekstmedafstandptekstGaramond"/>
              <w:spacing w:before="0"/>
              <w:ind w:left="184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184"/>
            </w:pPr>
            <w:r>
              <w:t>Finansrådet har ikke bemær</w:t>
            </w:r>
            <w:r>
              <w:t>k</w:t>
            </w:r>
            <w:r>
              <w:t>ninger til lovforslagets formål og baggrund.</w:t>
            </w:r>
          </w:p>
          <w:p w:rsidR="003708B4" w:rsidRDefault="003708B4" w:rsidP="00B873A5">
            <w:pPr>
              <w:pStyle w:val="Tabel-BrdtekstmedafstandptekstGaramond"/>
              <w:spacing w:before="0"/>
              <w:ind w:left="184"/>
            </w:pPr>
          </w:p>
          <w:p w:rsidR="003708B4" w:rsidRPr="00A42A86" w:rsidRDefault="003708B4" w:rsidP="00B873A5">
            <w:pPr>
              <w:pStyle w:val="Tabel-BrdtekstmedafstandptekstGaramond"/>
              <w:spacing w:before="0"/>
              <w:ind w:left="184"/>
            </w:pPr>
            <w:r>
              <w:t>Finansrådet foreslår, at forslaget til § 4, stk. 2, nr. 2, præciseres, således at det tydeligt fremgår, at bestemmelsen kun omfatter de momsfritagne ydelser leveret til virksomheder inden for den f</w:t>
            </w:r>
            <w:r>
              <w:t>i</w:t>
            </w:r>
            <w:r>
              <w:t>nansielle sektor. Finansrådet mener, at denne præcisering er i overensstemmelse med b</w:t>
            </w:r>
            <w:r>
              <w:t>e</w:t>
            </w:r>
            <w:r>
              <w:t>mærkningerne til lovforslaget.</w:t>
            </w: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3708B4" w:rsidP="00B873A5">
            <w:pPr>
              <w:pStyle w:val="Tabel-BrdtekstmedafstandptekstGaramond"/>
              <w:spacing w:before="0"/>
              <w:ind w:left="204" w:right="141"/>
            </w:pPr>
            <w:r>
              <w:t>Der henvises til kommentaren til Forsikring &amp; Pension.</w:t>
            </w: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 w:hanging="21"/>
            </w:pP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 w:hanging="21"/>
            </w:pPr>
            <w:r>
              <w:t>En præcisering vil blive foreslået ved ændringsforslag, jf. ko</w:t>
            </w:r>
            <w:r>
              <w:t>m</w:t>
            </w:r>
            <w:r>
              <w:t>mentaren til Forsikring &amp; Pens</w:t>
            </w:r>
            <w:r>
              <w:t>i</w:t>
            </w:r>
            <w:r>
              <w:t>on</w:t>
            </w:r>
            <w:r w:rsidR="00B873A5">
              <w:t>.</w:t>
            </w:r>
          </w:p>
          <w:p w:rsidR="003708B4" w:rsidRDefault="003708B4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307018" w:rsidRDefault="009A2717" w:rsidP="00255FEA">
            <w:pPr>
              <w:pStyle w:val="Tabel-BrdtekstmedafstandptekstGaramond"/>
              <w:spacing w:before="0"/>
            </w:pPr>
            <w:r w:rsidRPr="00307018">
              <w:lastRenderedPageBreak/>
              <w:t>Forsikring &amp; Pension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297F45" w:rsidRDefault="009A2717" w:rsidP="00255FEA">
            <w:pPr>
              <w:pStyle w:val="Tabel-BrdtekstmedafstandptekstGaramond"/>
              <w:spacing w:before="0"/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BA6F07" w:rsidRDefault="009A2717" w:rsidP="00B873A5">
            <w:pPr>
              <w:pStyle w:val="Tabel-BrdtekstmedafstandptekstGaramond"/>
              <w:spacing w:before="0"/>
              <w:ind w:left="184"/>
            </w:pPr>
            <w:r w:rsidRPr="00BA6F07">
              <w:t>Forsikring &amp; Pension beklager den korte høringsfrist.</w:t>
            </w:r>
            <w:r>
              <w:t xml:space="preserve"> </w:t>
            </w:r>
            <w:r w:rsidRPr="00BA6F07">
              <w:t>Forsi</w:t>
            </w:r>
            <w:r w:rsidRPr="00BA6F07">
              <w:t>k</w:t>
            </w:r>
            <w:r w:rsidRPr="00BA6F07">
              <w:t xml:space="preserve">ring &amp; Pension mener ikke, at forslaget er </w:t>
            </w:r>
            <w:r w:rsidR="00B90745">
              <w:t xml:space="preserve">en </w:t>
            </w:r>
            <w:proofErr w:type="spellStart"/>
            <w:r w:rsidRPr="00BA6F07">
              <w:t>værnsregel</w:t>
            </w:r>
            <w:proofErr w:type="spellEnd"/>
            <w:r w:rsidRPr="00BA6F07">
              <w:t xml:space="preserve">. </w:t>
            </w:r>
            <w:r>
              <w:t>Det anføres, at s</w:t>
            </w:r>
            <w:r w:rsidRPr="00BA6F07">
              <w:t>om det står i b</w:t>
            </w:r>
            <w:r w:rsidRPr="00BA6F07">
              <w:t>e</w:t>
            </w:r>
            <w:r w:rsidRPr="00BA6F07">
              <w:t>mærkningerne til forslaget</w:t>
            </w:r>
            <w:r>
              <w:t>,</w:t>
            </w:r>
            <w:r w:rsidRPr="00BA6F07">
              <w:t xml:space="preserve"> er det i form af anmodninger om bi</w:t>
            </w:r>
            <w:r w:rsidRPr="00BA6F07">
              <w:t>n</w:t>
            </w:r>
            <w:r w:rsidRPr="00BA6F07">
              <w:t>dende svar lagt åbent op til Ska</w:t>
            </w:r>
            <w:r w:rsidRPr="00BA6F07">
              <w:t>t</w:t>
            </w:r>
            <w:r w:rsidRPr="00BA6F07">
              <w:t>terådet om denne form for b</w:t>
            </w:r>
            <w:r w:rsidRPr="00BA6F07">
              <w:t>e</w:t>
            </w:r>
            <w:r w:rsidRPr="00BA6F07">
              <w:t>sparelse på lønsumsafgiften er mulig. Anmodningerne har så ført til Skatteministeriets overv</w:t>
            </w:r>
            <w:r w:rsidRPr="00BA6F07">
              <w:t>e</w:t>
            </w:r>
            <w:r w:rsidRPr="00BA6F07">
              <w:t>jelse af, om besparelsen skal a</w:t>
            </w:r>
            <w:r w:rsidRPr="00BA6F07">
              <w:t>n</w:t>
            </w:r>
            <w:r w:rsidRPr="00BA6F07">
              <w:t>ses for tilsigtet eller utilsigtet.</w:t>
            </w:r>
          </w:p>
          <w:p w:rsidR="009A2717" w:rsidRPr="00BA6F07" w:rsidRDefault="009A2717" w:rsidP="00B873A5">
            <w:pPr>
              <w:pStyle w:val="Tabel-BrdtekstmedafstandptekstGaramond"/>
              <w:spacing w:before="0"/>
              <w:ind w:left="184"/>
            </w:pPr>
          </w:p>
          <w:p w:rsidR="009A2717" w:rsidRPr="00BA6F07" w:rsidRDefault="009A2717" w:rsidP="00B873A5">
            <w:pPr>
              <w:pStyle w:val="Tabel-BrdtekstmedafstandptekstGaramond"/>
              <w:spacing w:before="0"/>
              <w:ind w:left="184"/>
            </w:pPr>
            <w:r w:rsidRPr="00BA6F07">
              <w:t>Forretningsmæssige forhold kan tale for</w:t>
            </w:r>
            <w:r w:rsidR="00B90745">
              <w:t>,</w:t>
            </w:r>
            <w:r w:rsidRPr="00BA6F07">
              <w:t xml:space="preserve"> a</w:t>
            </w:r>
            <w:r w:rsidR="00F1563C">
              <w:t>t</w:t>
            </w:r>
            <w:r w:rsidRPr="00BA6F07">
              <w:t xml:space="preserve"> momsgrupper anve</w:t>
            </w:r>
            <w:r w:rsidRPr="00BA6F07">
              <w:t>n</w:t>
            </w:r>
            <w:r w:rsidRPr="00BA6F07">
              <w:t>des, uanset at den ikke giver lø</w:t>
            </w:r>
            <w:r w:rsidRPr="00BA6F07">
              <w:t>n</w:t>
            </w:r>
            <w:r w:rsidRPr="00BA6F07">
              <w:t>sumsafgiftsmæssige fordel. Fo</w:t>
            </w:r>
            <w:r w:rsidRPr="00BA6F07">
              <w:t>r</w:t>
            </w:r>
            <w:r w:rsidRPr="00BA6F07">
              <w:t>sikring &amp; Pension ser frem til, at SKAT efter gennemførelse af forslaget ikke længere vil tøve med at anerkende, at selvstænd</w:t>
            </w:r>
            <w:r w:rsidRPr="00BA6F07">
              <w:t>i</w:t>
            </w:r>
            <w:r w:rsidRPr="00BA6F07">
              <w:t xml:space="preserve">ge momsgrupper </w:t>
            </w:r>
            <w:r w:rsidR="00F1563C">
              <w:t xml:space="preserve">kan </w:t>
            </w:r>
            <w:r w:rsidRPr="00BA6F07">
              <w:t xml:space="preserve">anvendes af virksomheder inden for den finansielle sektor.  </w:t>
            </w:r>
          </w:p>
          <w:p w:rsidR="009A2717" w:rsidRPr="00BA6F07" w:rsidRDefault="009A2717" w:rsidP="00B873A5">
            <w:pPr>
              <w:pStyle w:val="Tabel-BrdtekstmedafstandptekstGaramond"/>
              <w:spacing w:before="0"/>
              <w:ind w:left="184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 w:rsidRPr="00BA6F07">
              <w:t xml:space="preserve">Forsikring &amp; Pension mener desuden, at den foreslåede § 4, stk. 2, nr. 2, er formuleret for bredt, da hensigten må være, at der i denne kun indgår lønsum i forbindelse med selvstændige gruppers levering af </w:t>
            </w:r>
            <w:r w:rsidRPr="00BA6F07">
              <w:rPr>
                <w:u w:val="single"/>
              </w:rPr>
              <w:t>momsfr</w:t>
            </w:r>
            <w:r w:rsidRPr="00BA6F07">
              <w:rPr>
                <w:u w:val="single"/>
              </w:rPr>
              <w:t>i</w:t>
            </w:r>
            <w:r w:rsidRPr="00BA6F07">
              <w:rPr>
                <w:u w:val="single"/>
              </w:rPr>
              <w:t>tagne</w:t>
            </w:r>
            <w:r w:rsidRPr="00BA6F07">
              <w:t xml:space="preserve"> ydelser til virksomheder i den finansielle sektor. </w:t>
            </w:r>
          </w:p>
          <w:p w:rsidR="00C03BAA" w:rsidRPr="00297F45" w:rsidRDefault="00C03BAA" w:rsidP="00B873A5">
            <w:pPr>
              <w:pStyle w:val="Tabel-BrdtekstmedafstandptekstGaramond"/>
              <w:spacing w:before="0"/>
              <w:ind w:left="184"/>
              <w:rPr>
                <w:highlight w:val="yellow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  <w:r>
              <w:t xml:space="preserve">Forslaget anses som en </w:t>
            </w:r>
            <w:proofErr w:type="spellStart"/>
            <w:r>
              <w:t>værnsr</w:t>
            </w:r>
            <w:r>
              <w:t>e</w:t>
            </w:r>
            <w:r>
              <w:t>gel</w:t>
            </w:r>
            <w:proofErr w:type="spellEnd"/>
            <w:r>
              <w:t xml:space="preserve"> mod det tab af provenu, der ville opstå, såfremt virksomheder i den finansielle sektor begyndte at benytte muligheden for at danne selvstændige momsgru</w:t>
            </w:r>
            <w:r>
              <w:t>p</w:t>
            </w:r>
            <w:r>
              <w:t>per til at opnå en lavere lø</w:t>
            </w:r>
            <w:r>
              <w:t>n</w:t>
            </w:r>
            <w:r>
              <w:t>sumsafgiftsbetaling. Det vurd</w:t>
            </w:r>
            <w:r>
              <w:t>e</w:t>
            </w:r>
            <w:r>
              <w:t>res, at en sådan organisationsæ</w:t>
            </w:r>
            <w:r>
              <w:t>n</w:t>
            </w:r>
            <w:r>
              <w:t xml:space="preserve">dring </w:t>
            </w:r>
            <w:r w:rsidR="00F1563C">
              <w:t>vil kunne</w:t>
            </w:r>
            <w:r>
              <w:t xml:space="preserve"> foretages hurtigt.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  <w:r>
              <w:t>Som anført i bemærkningerne til lovforslaget kan der være andre end afgiftsmæssige forhold, der taler for, at virksomheder – også virksomheder inden</w:t>
            </w:r>
            <w:r w:rsidR="00F1563C">
              <w:t xml:space="preserve"> </w:t>
            </w:r>
            <w:r>
              <w:t>for den f</w:t>
            </w:r>
            <w:r>
              <w:t>i</w:t>
            </w:r>
            <w:r>
              <w:t>nansielle sektor – ønsker at da</w:t>
            </w:r>
            <w:r>
              <w:t>n</w:t>
            </w:r>
            <w:r>
              <w:t>ne en selvstændig momsgruppe. Som anført af Forsikring &amp; Pe</w:t>
            </w:r>
            <w:r>
              <w:t>n</w:t>
            </w:r>
            <w:r>
              <w:t xml:space="preserve">sion vil der være mulighed for dette fremover. 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 w:hanging="21"/>
            </w:pPr>
          </w:p>
          <w:p w:rsidR="00B873A5" w:rsidRDefault="00B873A5" w:rsidP="00B873A5">
            <w:pPr>
              <w:pStyle w:val="Tabel-BrdtekstmedafstandptekstGaramond"/>
              <w:spacing w:before="0"/>
              <w:ind w:left="204" w:right="141" w:hanging="2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 w:hanging="21"/>
            </w:pPr>
            <w:r>
              <w:t>En præcisering vil blive foreslået ved ændringsforslag.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 w:firstLine="12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307018" w:rsidRDefault="009A2717" w:rsidP="00255FEA">
            <w:pPr>
              <w:pStyle w:val="Tabel-BrdtekstmedafstandptekstGaramond"/>
              <w:spacing w:before="0"/>
            </w:pPr>
            <w:r w:rsidRPr="00307018">
              <w:t>Forsikringsmægler-foreningen</w:t>
            </w:r>
          </w:p>
          <w:p w:rsidR="009A2717" w:rsidRPr="00307018" w:rsidRDefault="009A2717" w:rsidP="00255FEA">
            <w:pPr>
              <w:pStyle w:val="Tabel-BrdtekstmedafstandptekstGaramond"/>
              <w:spacing w:before="0"/>
            </w:pPr>
            <w:r w:rsidRPr="00307018">
              <w:t>(FMF)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297F45" w:rsidRDefault="009A2717" w:rsidP="00255FEA">
            <w:pPr>
              <w:pStyle w:val="Tabel-BrdtekstmedafstandptekstGaramond"/>
              <w:spacing w:before="0"/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Default="009A2717" w:rsidP="00B873A5">
            <w:pPr>
              <w:ind w:left="184" w:right="227"/>
            </w:pPr>
            <w:r>
              <w:t xml:space="preserve">FMF er enig med formålet bag ændringen i lønsumsafgiftsloven. </w:t>
            </w:r>
          </w:p>
          <w:p w:rsidR="009A2717" w:rsidRDefault="009A2717" w:rsidP="00B873A5">
            <w:pPr>
              <w:ind w:left="184" w:right="227"/>
            </w:pPr>
          </w:p>
          <w:p w:rsidR="009A2717" w:rsidRDefault="009A2717" w:rsidP="00B873A5">
            <w:pPr>
              <w:ind w:left="184" w:right="227"/>
            </w:pPr>
            <w:r>
              <w:t>FMF mener dog, at den nuv</w:t>
            </w:r>
            <w:r>
              <w:t>æ</w:t>
            </w:r>
            <w:r>
              <w:t>rende praksis, hvorefter fina</w:t>
            </w:r>
            <w:r>
              <w:t>n</w:t>
            </w:r>
            <w:r>
              <w:t xml:space="preserve">sielle virksomheder defineres på </w:t>
            </w:r>
            <w:r>
              <w:lastRenderedPageBreak/>
              <w:t>baggrund af virksomhedens de</w:t>
            </w:r>
            <w:r>
              <w:t>l</w:t>
            </w:r>
            <w:r>
              <w:t>vise momsfradragsprocent og et skøn over virksomhedens fre</w:t>
            </w:r>
            <w:r>
              <w:t>m</w:t>
            </w:r>
            <w:r>
              <w:t>træden, vil kunne medføre fo</w:t>
            </w:r>
            <w:r>
              <w:t>r</w:t>
            </w:r>
            <w:r>
              <w:t>tolkningstvivl og skævvridninger i forståelsen af den foreslåede regel. FMF anfører, at anledni</w:t>
            </w:r>
            <w:r>
              <w:t>n</w:t>
            </w:r>
            <w:r>
              <w:t xml:space="preserve">gen bør benyttes til at fastlægge en klarere definition af begrebet ”finansiel virksomhed”, nemlig til virksomheder, der rent faktisk ér finansielle virksomheder efter lov om finansiel virksomhed. </w:t>
            </w:r>
          </w:p>
          <w:p w:rsidR="009A2717" w:rsidRDefault="009A2717" w:rsidP="00B873A5">
            <w:pPr>
              <w:ind w:left="184" w:right="227"/>
            </w:pPr>
          </w:p>
          <w:p w:rsidR="009A2717" w:rsidRDefault="009A2717" w:rsidP="00B873A5">
            <w:pPr>
              <w:ind w:left="184" w:right="227"/>
            </w:pPr>
            <w:r>
              <w:t>FMF mener ikke, at forsi</w:t>
            </w:r>
            <w:r>
              <w:t>k</w:t>
            </w:r>
            <w:r>
              <w:t>ringsmæglere er finansielle vir</w:t>
            </w:r>
            <w:r>
              <w:t>k</w:t>
            </w:r>
            <w:r>
              <w:t>somheder men rådgivningsvir</w:t>
            </w:r>
            <w:r>
              <w:t>k</w:t>
            </w:r>
            <w:r>
              <w:t>somheder, der er med til at sikre konkurrence på forsikringsma</w:t>
            </w:r>
            <w:r>
              <w:t>r</w:t>
            </w:r>
            <w:r>
              <w:t>kedet. FMF anfører, at branchen på særlige områder er udsat for global konkurrence, og danske mæglere kan ikke konkurrere med udenlandske mægler, når opgaver, herunder danske opg</w:t>
            </w:r>
            <w:r>
              <w:t>a</w:t>
            </w:r>
            <w:r>
              <w:t>ver, skal i udbud i forbindelse med offentlige arbejder, idet udenlandske mæglere ikke bet</w:t>
            </w:r>
            <w:r>
              <w:t>a</w:t>
            </w:r>
            <w:r>
              <w:t>ler lønsumsafgift. Desuden vil den kommende – betydelige – stigning i lønsumsafgiften betyde afskedigelser i erhvervet.</w:t>
            </w:r>
          </w:p>
          <w:p w:rsidR="009A2717" w:rsidRDefault="009A2717" w:rsidP="00B873A5">
            <w:pPr>
              <w:ind w:left="184" w:right="227"/>
            </w:pPr>
          </w:p>
          <w:p w:rsidR="009A2717" w:rsidRDefault="009A2717" w:rsidP="00B873A5">
            <w:pPr>
              <w:ind w:left="184" w:right="227"/>
            </w:pPr>
          </w:p>
          <w:p w:rsidR="009A2717" w:rsidRDefault="009A2717" w:rsidP="00B873A5">
            <w:pPr>
              <w:ind w:left="184" w:right="227"/>
            </w:pPr>
          </w:p>
          <w:p w:rsidR="00B873A5" w:rsidRDefault="00B873A5" w:rsidP="00B873A5">
            <w:pPr>
              <w:ind w:left="184" w:right="227"/>
            </w:pPr>
          </w:p>
          <w:p w:rsidR="009A2717" w:rsidRDefault="009A2717" w:rsidP="00B873A5">
            <w:pPr>
              <w:ind w:left="184" w:right="227"/>
            </w:pPr>
            <w:r>
              <w:t>FMF foreslår derfor, at forsi</w:t>
            </w:r>
            <w:r>
              <w:t>k</w:t>
            </w:r>
            <w:r>
              <w:t>ringsmæglere ikke længere ide</w:t>
            </w:r>
            <w:r>
              <w:t>n</w:t>
            </w:r>
            <w:r>
              <w:t xml:space="preserve">tificeres </w:t>
            </w:r>
            <w:r w:rsidR="00B90745">
              <w:t>som</w:t>
            </w:r>
            <w:r>
              <w:t xml:space="preserve"> finansielle vir</w:t>
            </w:r>
            <w:r>
              <w:t>k</w:t>
            </w:r>
            <w:r>
              <w:t>somheder men overflyttes fra metode 2 til metode 4, hvor a</w:t>
            </w:r>
            <w:r>
              <w:t>f</w:t>
            </w:r>
            <w:r>
              <w:t>giften er lavere, men hvor b</w:t>
            </w:r>
            <w:r>
              <w:t>e</w:t>
            </w:r>
            <w:r>
              <w:t>regningsgrundlaget ud over vir</w:t>
            </w:r>
            <w:r>
              <w:t>k</w:t>
            </w:r>
            <w:r>
              <w:lastRenderedPageBreak/>
              <w:t>somhedens lønsum korrigeres med tillæg af overskud eller fr</w:t>
            </w:r>
            <w:r>
              <w:t>a</w:t>
            </w:r>
            <w:r>
              <w:t>drag for underskud i virksomh</w:t>
            </w:r>
            <w:r>
              <w:t>e</w:t>
            </w:r>
            <w:r>
              <w:t>den. FMF mener ikke, at ove</w:t>
            </w:r>
            <w:r>
              <w:t>r</w:t>
            </w:r>
            <w:r>
              <w:t>flytningen til metode 4 prov</w:t>
            </w:r>
            <w:r>
              <w:t>e</w:t>
            </w:r>
            <w:r>
              <w:t>numæssigt vil få særlig bety</w:t>
            </w:r>
            <w:r>
              <w:t>d</w:t>
            </w:r>
            <w:r>
              <w:t>ning, men det vil det til gengæld beskæftigelsesmæssigt og i fo</w:t>
            </w:r>
            <w:r>
              <w:t>r</w:t>
            </w:r>
            <w:r>
              <w:t>hold til at sikre konkurrencen.</w:t>
            </w:r>
          </w:p>
          <w:p w:rsidR="009A2717" w:rsidRPr="00297F45" w:rsidRDefault="009A2717" w:rsidP="00B873A5">
            <w:pPr>
              <w:pStyle w:val="Tabel-BrdtekstmedafstandptekstGaramond"/>
              <w:spacing w:before="0"/>
              <w:ind w:left="184"/>
              <w:rPr>
                <w:highlight w:val="yellow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ind w:left="204" w:right="141"/>
            </w:pPr>
            <w:r w:rsidRPr="00CC6974">
              <w:t>Forslaget ændrer ikke definiti</w:t>
            </w:r>
            <w:r w:rsidRPr="00CC6974">
              <w:t>o</w:t>
            </w:r>
            <w:r w:rsidRPr="00CC6974">
              <w:t xml:space="preserve">nen af, hvornår en virksomhed i relation til lønsumsafgiftsloven </w:t>
            </w:r>
            <w:r w:rsidRPr="00CC6974">
              <w:lastRenderedPageBreak/>
              <w:t>er omfattet af reglerne for vir</w:t>
            </w:r>
            <w:r w:rsidRPr="00CC6974">
              <w:t>k</w:t>
            </w:r>
            <w:r w:rsidRPr="00CC6974">
              <w:t>somheder i den finansielle se</w:t>
            </w:r>
            <w:r w:rsidRPr="00CC6974">
              <w:t>k</w:t>
            </w:r>
            <w:r w:rsidRPr="00CC6974">
              <w:t xml:space="preserve">tor. </w:t>
            </w: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</w:p>
          <w:p w:rsidR="00B873A5" w:rsidRDefault="00B873A5" w:rsidP="00B873A5">
            <w:pPr>
              <w:ind w:left="204" w:right="141"/>
            </w:pPr>
          </w:p>
          <w:p w:rsidR="00B873A5" w:rsidRDefault="00B873A5" w:rsidP="00B873A5">
            <w:pPr>
              <w:ind w:left="204" w:right="141"/>
            </w:pPr>
          </w:p>
          <w:p w:rsidR="009A2717" w:rsidRDefault="009A2717" w:rsidP="00B873A5">
            <w:pPr>
              <w:ind w:left="204" w:right="141"/>
            </w:pPr>
            <w:r>
              <w:t>Den gradvise stigning i lønsum</w:t>
            </w:r>
            <w:r>
              <w:t>s</w:t>
            </w:r>
            <w:r>
              <w:t>afgiften for virksomheder i den finansielle sektor i årene frem til og med 2021 skyldes forhøjelser i forbindelse med skattereformen fra 2012 og vækstplanen fra 2013.</w:t>
            </w:r>
          </w:p>
          <w:p w:rsidR="009A2717" w:rsidRPr="00CC6974" w:rsidRDefault="009A2717" w:rsidP="00B873A5">
            <w:pPr>
              <w:ind w:left="204" w:right="141"/>
            </w:pPr>
          </w:p>
          <w:p w:rsidR="009A2717" w:rsidRDefault="009A2717" w:rsidP="00B873A5">
            <w:pPr>
              <w:spacing w:line="288" w:lineRule="auto"/>
              <w:ind w:left="204" w:right="141"/>
            </w:pPr>
            <w:r>
              <w:rPr>
                <w:bCs/>
              </w:rPr>
              <w:t>H</w:t>
            </w:r>
            <w:r w:rsidRPr="00CC6974">
              <w:rPr>
                <w:bCs/>
              </w:rPr>
              <w:t>elt tilbage fra lov om lønsum for virksomheder i den finansie</w:t>
            </w:r>
            <w:r w:rsidRPr="00CC6974">
              <w:rPr>
                <w:bCs/>
              </w:rPr>
              <w:t>l</w:t>
            </w:r>
            <w:r w:rsidRPr="00CC6974">
              <w:rPr>
                <w:bCs/>
              </w:rPr>
              <w:t>le sektor fra 1989 har virkso</w:t>
            </w:r>
            <w:r w:rsidRPr="00CC6974">
              <w:rPr>
                <w:bCs/>
              </w:rPr>
              <w:t>m</w:t>
            </w:r>
            <w:r w:rsidRPr="00CC6974">
              <w:rPr>
                <w:bCs/>
              </w:rPr>
              <w:t>heder i den finansielle sektor omfattet ”</w:t>
            </w:r>
            <w:r w:rsidRPr="00CC6974">
              <w:t>virksomheder med a</w:t>
            </w:r>
            <w:r w:rsidRPr="00CC6974">
              <w:t>k</w:t>
            </w:r>
            <w:r w:rsidRPr="00CC6974">
              <w:t xml:space="preserve">tiviteter vedrørende forsikring, ind- og udlån, kreditformidling, </w:t>
            </w:r>
            <w:r w:rsidRPr="00CC6974">
              <w:lastRenderedPageBreak/>
              <w:t>pensionsopsparing, investering</w:t>
            </w:r>
            <w:r w:rsidRPr="00CC6974">
              <w:t>s</w:t>
            </w:r>
            <w:r w:rsidRPr="00CC6974">
              <w:t>forvaltning, betalingsformidling samt handel med værdipapirer eller valuta”. Forsikringsmægle</w:t>
            </w:r>
            <w:r w:rsidRPr="00CC6974">
              <w:t>r</w:t>
            </w:r>
            <w:r w:rsidRPr="00CC6974">
              <w:t>virksomhed er en aktivitet ve</w:t>
            </w:r>
            <w:r w:rsidRPr="00CC6974">
              <w:t>d</w:t>
            </w:r>
            <w:r w:rsidRPr="00CC6974">
              <w:t xml:space="preserve">rørende forsikring og er derfor omfattet af ordlyden. </w:t>
            </w:r>
          </w:p>
          <w:p w:rsidR="00C03BAA" w:rsidRPr="00CC6974" w:rsidRDefault="00C03BAA" w:rsidP="00B873A5">
            <w:pPr>
              <w:spacing w:line="288" w:lineRule="auto"/>
              <w:ind w:left="204" w:right="141"/>
            </w:pPr>
          </w:p>
          <w:p w:rsidR="009A2717" w:rsidRDefault="009A2717" w:rsidP="00B873A5">
            <w:pPr>
              <w:spacing w:line="288" w:lineRule="auto"/>
              <w:ind w:left="204" w:right="141"/>
            </w:pPr>
            <w:r w:rsidRPr="00CC6974">
              <w:t>Også i momsmæssig samme</w:t>
            </w:r>
            <w:r w:rsidRPr="00CC6974">
              <w:t>n</w:t>
            </w:r>
            <w:r w:rsidRPr="00CC6974">
              <w:t>hæng er forsikringsmæglervir</w:t>
            </w:r>
            <w:r w:rsidRPr="00CC6974">
              <w:t>k</w:t>
            </w:r>
            <w:r w:rsidRPr="00CC6974">
              <w:t>somhed omfattet af momsfrit</w:t>
            </w:r>
            <w:r w:rsidRPr="00CC6974">
              <w:t>a</w:t>
            </w:r>
            <w:r w:rsidRPr="00CC6974">
              <w:t>gelsen for forsikringsydelser. Endvidere kræver virke som fo</w:t>
            </w:r>
            <w:r w:rsidRPr="00CC6974">
              <w:t>r</w:t>
            </w:r>
            <w:r w:rsidRPr="00CC6974">
              <w:t>sikringsmægler tilladelse fra F</w:t>
            </w:r>
            <w:r w:rsidRPr="00CC6974">
              <w:t>i</w:t>
            </w:r>
            <w:r w:rsidRPr="00CC6974">
              <w:t xml:space="preserve">nanstilsynet. </w:t>
            </w:r>
          </w:p>
          <w:p w:rsidR="00B873A5" w:rsidRDefault="00B873A5" w:rsidP="00B873A5">
            <w:pPr>
              <w:spacing w:line="288" w:lineRule="auto"/>
              <w:ind w:left="204" w:right="141"/>
            </w:pPr>
          </w:p>
          <w:p w:rsidR="009A2717" w:rsidRDefault="009A2717" w:rsidP="00B873A5">
            <w:pPr>
              <w:spacing w:line="288" w:lineRule="auto"/>
              <w:ind w:left="204" w:right="141"/>
            </w:pPr>
            <w:r w:rsidRPr="00CC6974">
              <w:t>Uanset at forsikringsmæglervir</w:t>
            </w:r>
            <w:r w:rsidRPr="00CC6974">
              <w:t>k</w:t>
            </w:r>
            <w:r w:rsidRPr="00CC6974">
              <w:t>somhed ikke omfattes af defin</w:t>
            </w:r>
            <w:r w:rsidRPr="00CC6974">
              <w:t>i</w:t>
            </w:r>
            <w:r w:rsidRPr="00CC6974">
              <w:t>tionen på finansiel virksomhed i lov om finansiel virksomhed, må forsikringsmægling anses for at tilhøre den finansiel</w:t>
            </w:r>
            <w:r w:rsidR="00B90745">
              <w:t>le sektor i bredere forstand</w:t>
            </w:r>
            <w:r w:rsidRPr="00CC6974">
              <w:t xml:space="preserve"> og er dermed naturligt omfattet af reglerne for denne sektor i lønsumsafgiftsl</w:t>
            </w:r>
            <w:r w:rsidRPr="00CC6974">
              <w:t>o</w:t>
            </w:r>
            <w:r w:rsidRPr="00CC6974">
              <w:t xml:space="preserve">ven. </w:t>
            </w:r>
          </w:p>
          <w:p w:rsidR="00C03BAA" w:rsidRDefault="00C03BAA" w:rsidP="00B873A5">
            <w:pPr>
              <w:spacing w:line="288" w:lineRule="auto"/>
              <w:ind w:left="204" w:right="141"/>
            </w:pPr>
          </w:p>
        </w:tc>
      </w:tr>
      <w:tr w:rsidR="002C0812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2C0812" w:rsidRPr="00307018" w:rsidRDefault="002C0812" w:rsidP="002C0812">
            <w:pPr>
              <w:pStyle w:val="Tabel-BrdtekstmedafstandptekstGaramond"/>
              <w:spacing w:before="0"/>
            </w:pPr>
            <w:r>
              <w:lastRenderedPageBreak/>
              <w:t>FSR Danske Revisorer</w:t>
            </w:r>
          </w:p>
        </w:tc>
        <w:tc>
          <w:tcPr>
            <w:tcW w:w="132" w:type="dxa"/>
            <w:shd w:val="clear" w:color="auto" w:fill="FFFFFF" w:themeFill="background1"/>
          </w:tcPr>
          <w:p w:rsidR="002C0812" w:rsidRPr="00297F45" w:rsidRDefault="002C0812" w:rsidP="00255FEA">
            <w:pPr>
              <w:pStyle w:val="Tabel-BrdtekstmedafstandptekstGaramond"/>
              <w:spacing w:before="0"/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2C0812" w:rsidRDefault="002C0812" w:rsidP="00B873A5">
            <w:pPr>
              <w:ind w:left="184" w:right="227"/>
            </w:pPr>
            <w:r>
              <w:t>FSR har forståelse for formålet bag lovforslaget.</w:t>
            </w:r>
          </w:p>
          <w:p w:rsidR="002C0812" w:rsidRDefault="002C0812" w:rsidP="00B873A5">
            <w:pPr>
              <w:ind w:left="184" w:right="227"/>
            </w:pPr>
          </w:p>
          <w:p w:rsidR="002C0812" w:rsidRDefault="002C0812" w:rsidP="00B873A5">
            <w:pPr>
              <w:ind w:left="184" w:right="227"/>
            </w:pPr>
            <w:r>
              <w:t>FSR finder det dog hensigt</w:t>
            </w:r>
            <w:r>
              <w:t>s</w:t>
            </w:r>
            <w:r>
              <w:t xml:space="preserve">mæssigt, </w:t>
            </w:r>
            <w:r w:rsidR="000F2BFB">
              <w:t>a</w:t>
            </w:r>
            <w:r>
              <w:t>t forslaget ændres, så selvstændige grupper generelt skal betale lønsumsafgift på ba</w:t>
            </w:r>
            <w:r>
              <w:t>g</w:t>
            </w:r>
            <w:r>
              <w:t>grund af den lønsumsafgift</w:t>
            </w:r>
            <w:r>
              <w:t>s</w:t>
            </w:r>
            <w:r>
              <w:t>mæssige status for den virkso</w:t>
            </w:r>
            <w:r>
              <w:t>m</w:t>
            </w:r>
            <w:r>
              <w:t>hed (aktivitet) hos medlemme</w:t>
            </w:r>
            <w:r>
              <w:t>r</w:t>
            </w:r>
            <w:r>
              <w:t>ne, som gruppens ydelser er ”d</w:t>
            </w:r>
            <w:r>
              <w:t>i</w:t>
            </w:r>
            <w:r>
              <w:t>rekte nødvendige” for.</w:t>
            </w:r>
          </w:p>
          <w:p w:rsidR="002C0812" w:rsidRDefault="002C0812" w:rsidP="00B873A5">
            <w:pPr>
              <w:ind w:left="184" w:right="227"/>
            </w:pPr>
          </w:p>
          <w:p w:rsidR="002C0812" w:rsidRDefault="002C0812" w:rsidP="00B873A5">
            <w:pPr>
              <w:ind w:left="184" w:right="227"/>
            </w:pPr>
            <w:r>
              <w:t>FSR mener, at uanset gennemf</w:t>
            </w:r>
            <w:r>
              <w:t>ø</w:t>
            </w:r>
            <w:r>
              <w:lastRenderedPageBreak/>
              <w:t>relsesmetode, vil det give tekn</w:t>
            </w:r>
            <w:r>
              <w:t>i</w:t>
            </w:r>
            <w:r>
              <w:t>ske vanskeligheder, idet gru</w:t>
            </w:r>
            <w:r>
              <w:t>p</w:t>
            </w:r>
            <w:r>
              <w:t>perne kan være både momspli</w:t>
            </w:r>
            <w:r>
              <w:t>g</w:t>
            </w:r>
            <w:r>
              <w:t>tige og lønsumsafgiftspligtige e</w:t>
            </w:r>
            <w:r>
              <w:t>f</w:t>
            </w:r>
            <w:r>
              <w:t xml:space="preserve">ter tre metoder. </w:t>
            </w:r>
          </w:p>
          <w:p w:rsidR="002C0812" w:rsidRDefault="002C0812" w:rsidP="00B873A5">
            <w:pPr>
              <w:ind w:left="184" w:right="227"/>
            </w:pPr>
          </w:p>
          <w:p w:rsidR="002C0812" w:rsidRDefault="000F2BFB" w:rsidP="00B873A5">
            <w:pPr>
              <w:ind w:left="184" w:right="227"/>
            </w:pPr>
            <w:r>
              <w:t>FRS mener, at det bør fremgå af lovforslaget, hvorledes fordeli</w:t>
            </w:r>
            <w:r>
              <w:t>n</w:t>
            </w:r>
            <w:r>
              <w:t>gen af lønsum i praksis skal for</w:t>
            </w:r>
            <w:r>
              <w:t>e</w:t>
            </w:r>
            <w:r>
              <w:t>tages.</w:t>
            </w:r>
          </w:p>
          <w:p w:rsidR="000F2BFB" w:rsidRDefault="000F2BFB" w:rsidP="00B873A5">
            <w:pPr>
              <w:ind w:left="184" w:right="227"/>
            </w:pPr>
          </w:p>
        </w:tc>
        <w:tc>
          <w:tcPr>
            <w:tcW w:w="443" w:type="dxa"/>
            <w:shd w:val="clear" w:color="auto" w:fill="FFFFFF" w:themeFill="background1"/>
          </w:tcPr>
          <w:p w:rsidR="002C0812" w:rsidRPr="00B5346F" w:rsidRDefault="002C0812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2C0812" w:rsidRDefault="002C0812" w:rsidP="00B873A5">
            <w:pPr>
              <w:pStyle w:val="Tabel-BrdtekstmedafstandptekstGaramond"/>
              <w:spacing w:before="0"/>
              <w:ind w:left="204" w:right="141"/>
            </w:pPr>
          </w:p>
          <w:p w:rsidR="000F2BFB" w:rsidRDefault="000F2BFB" w:rsidP="00B873A5">
            <w:pPr>
              <w:pStyle w:val="Tabel-BrdtekstmedafstandptekstGaramond"/>
              <w:spacing w:before="0"/>
              <w:ind w:left="204" w:right="141"/>
            </w:pPr>
          </w:p>
          <w:p w:rsidR="000F2BFB" w:rsidRDefault="000F2BFB" w:rsidP="00B873A5">
            <w:pPr>
              <w:pStyle w:val="Tabel-BrdtekstmedafstandptekstGaramond"/>
              <w:spacing w:before="0"/>
              <w:ind w:left="204" w:right="141"/>
            </w:pPr>
          </w:p>
          <w:p w:rsidR="000F2BFB" w:rsidRDefault="000F2BFB" w:rsidP="00B873A5">
            <w:pPr>
              <w:pStyle w:val="Tabel-BrdtekstmedafstandptekstGaramond"/>
              <w:spacing w:before="0"/>
              <w:ind w:left="204" w:right="141"/>
            </w:pPr>
            <w:r>
              <w:t>Det f</w:t>
            </w:r>
            <w:r w:rsidR="00F57A54">
              <w:t xml:space="preserve">remsatte forslag er alene en </w:t>
            </w:r>
            <w:proofErr w:type="spellStart"/>
            <w:r w:rsidR="00F57A54">
              <w:t>værnsregel</w:t>
            </w:r>
            <w:proofErr w:type="spellEnd"/>
            <w:r w:rsidR="00F57A54">
              <w:t xml:space="preserve"> mod, at virksomheder i den finansielle sektor begynder at flytte opgaver til selvstændige momsgrupper med henblik på at opnå lavere betaling af lønsum</w:t>
            </w:r>
            <w:r w:rsidR="00F57A54">
              <w:t>s</w:t>
            </w:r>
            <w:r w:rsidR="00F57A54">
              <w:t>afgift. Yderligere ændringer i re</w:t>
            </w:r>
            <w:r w:rsidR="00F57A54">
              <w:t>g</w:t>
            </w:r>
            <w:r w:rsidR="00F57A54">
              <w:t>lerne for momsgrupper vurderes ikke nødvendige.</w:t>
            </w:r>
          </w:p>
          <w:p w:rsidR="00F57A54" w:rsidRDefault="00F57A54" w:rsidP="00B873A5">
            <w:pPr>
              <w:pStyle w:val="Tabel-BrdtekstmedafstandptekstGaramond"/>
              <w:spacing w:before="0"/>
              <w:ind w:left="204" w:right="141"/>
            </w:pPr>
          </w:p>
          <w:p w:rsidR="00F57A54" w:rsidRDefault="00F57A54" w:rsidP="00B873A5">
            <w:pPr>
              <w:pStyle w:val="Tabel-BrdtekstmedafstandptekstGaramond"/>
              <w:spacing w:before="0"/>
              <w:ind w:left="204" w:right="141"/>
            </w:pPr>
            <w:r>
              <w:t>Det antages, at de fleste mom</w:t>
            </w:r>
            <w:r>
              <w:t>s</w:t>
            </w:r>
            <w:r>
              <w:lastRenderedPageBreak/>
              <w:t>grupper har en ret ensartet me</w:t>
            </w:r>
            <w:r>
              <w:t>d</w:t>
            </w:r>
            <w:r>
              <w:t>lemskreds. Allerede efter gæ</w:t>
            </w:r>
            <w:r>
              <w:t>l</w:t>
            </w:r>
            <w:r>
              <w:t>dende regler kan momsgrupper levere både lønsumsafgiftspligt</w:t>
            </w:r>
            <w:r>
              <w:t>i</w:t>
            </w:r>
            <w:r>
              <w:t>ge ydelser og momspligtige yde</w:t>
            </w:r>
            <w:r>
              <w:t>l</w:t>
            </w:r>
            <w:r>
              <w:t>ser. Forsl</w:t>
            </w:r>
            <w:r w:rsidR="00C33F74">
              <w:t>a</w:t>
            </w:r>
            <w:r>
              <w:t xml:space="preserve">get betyder alene, at leveres der momsfri ydelser til både virksomheder inden for den finansielle sektor og andre virksomheder, skal </w:t>
            </w:r>
            <w:r w:rsidR="00527718">
              <w:t>moms</w:t>
            </w:r>
            <w:r>
              <w:t>gru</w:t>
            </w:r>
            <w:r>
              <w:t>p</w:t>
            </w:r>
            <w:r>
              <w:t>pens lønsum dele</w:t>
            </w:r>
            <w:r w:rsidR="00527718">
              <w:t>s</w:t>
            </w:r>
            <w:r>
              <w:t xml:space="preserve"> op</w:t>
            </w:r>
            <w:r w:rsidR="00527718">
              <w:t>,</w:t>
            </w:r>
            <w:r>
              <w:t xml:space="preserve"> og der skal betales lønsumsafgift efter to forskellige satser.</w:t>
            </w: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D508EE" w:rsidRDefault="009A2717" w:rsidP="00255FEA">
            <w:pPr>
              <w:pStyle w:val="Tabel-BrdtekstmedafstandptekstGaramond"/>
              <w:spacing w:before="0"/>
            </w:pPr>
            <w:r>
              <w:lastRenderedPageBreak/>
              <w:t>Realkreditrådet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>
              <w:t>Realkreditrådet tager til efterre</w:t>
            </w:r>
            <w:r>
              <w:t>t</w:t>
            </w:r>
            <w:r>
              <w:t xml:space="preserve">ning, </w:t>
            </w:r>
            <w:r w:rsidR="00C03BAA">
              <w:t>a</w:t>
            </w:r>
            <w:r>
              <w:t>t der med forslaget in</w:t>
            </w:r>
            <w:r>
              <w:t>d</w:t>
            </w:r>
            <w:r>
              <w:t xml:space="preserve">sættes en </w:t>
            </w:r>
            <w:proofErr w:type="spellStart"/>
            <w:r>
              <w:t>værnsregel</w:t>
            </w:r>
            <w:proofErr w:type="spellEnd"/>
            <w:r>
              <w:t xml:space="preserve"> i lønsum</w:t>
            </w:r>
            <w:r>
              <w:t>s</w:t>
            </w:r>
            <w:r>
              <w:t>afgiftsloven, som skal forhindre, at finansielle virksomheder fly</w:t>
            </w:r>
            <w:r>
              <w:t>t</w:t>
            </w:r>
            <w:r>
              <w:t>ter fx it-opgaver til særligt opre</w:t>
            </w:r>
            <w:r>
              <w:t>t</w:t>
            </w:r>
            <w:r>
              <w:t>tede momsgrupper for at opnå lavere lønsumsafgiftsbetaling.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>
              <w:t>Realkreditrådet ser dog behov for en præcisering af forslaget til § 4, stk. 1, nr. 2, således at reglen kun gælder den lønsum</w:t>
            </w:r>
            <w:r w:rsidR="00C03BAA">
              <w:t>,</w:t>
            </w:r>
            <w:r>
              <w:t xml:space="preserve"> der er medgået til de momsfritagne ydelser, som gruppen leverer til virksomheder inden for den f</w:t>
            </w:r>
            <w:r>
              <w:t>i</w:t>
            </w:r>
            <w:r>
              <w:t xml:space="preserve">nansielle sektor. 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>
              <w:t>Endvidere bemærker Realkredi</w:t>
            </w:r>
            <w:r>
              <w:t>t</w:t>
            </w:r>
            <w:r>
              <w:t>rådet, at der i punkt 3.4.1 i lo</w:t>
            </w:r>
            <w:r>
              <w:t>v</w:t>
            </w:r>
            <w:r>
              <w:t>forslaget står, at finansielle vir</w:t>
            </w:r>
            <w:r>
              <w:t>k</w:t>
            </w:r>
            <w:r>
              <w:t>somheder er momsfritaget. R</w:t>
            </w:r>
            <w:r>
              <w:t>e</w:t>
            </w:r>
            <w:r>
              <w:t>alkreditrådet understreger, at en finansiel virksomhed ikke er momsfri, men har en række akt</w:t>
            </w:r>
            <w:r>
              <w:t>i</w:t>
            </w:r>
            <w:r>
              <w:t>viteter, som er momsfritagne.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184"/>
            </w:pPr>
            <w:r>
              <w:t xml:space="preserve">Realkreditrådet bemærker, at det fremgår af forslaget, at det </w:t>
            </w:r>
            <w:r>
              <w:lastRenderedPageBreak/>
              <w:t>manglende momsfradrag er et incitament til at udføre flest m</w:t>
            </w:r>
            <w:r>
              <w:t>u</w:t>
            </w:r>
            <w:r>
              <w:t>lige opgaver internt i virkso</w:t>
            </w:r>
            <w:r>
              <w:t>m</w:t>
            </w:r>
            <w:r>
              <w:t>heden. Realkreditrådet mener, at dette kan være en medvirkende faktor, men ikke i sig selv h</w:t>
            </w:r>
            <w:r>
              <w:t>o</w:t>
            </w:r>
            <w:r>
              <w:t>vedincitament</w:t>
            </w:r>
            <w:r w:rsidR="00B90745">
              <w:t>,</w:t>
            </w:r>
            <w:r>
              <w:t xml:space="preserve"> til at opgaverne udføres internt i virksomheden. </w:t>
            </w:r>
          </w:p>
          <w:p w:rsidR="00C03BAA" w:rsidRPr="00B5346F" w:rsidRDefault="00C03BAA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 w:hanging="21"/>
            </w:pPr>
            <w:r>
              <w:t>En præcisering vil blive foreslået ved ændringsforslag, jf. ko</w:t>
            </w:r>
            <w:r>
              <w:t>m</w:t>
            </w:r>
            <w:r>
              <w:t xml:space="preserve">mentaren til Forsikring </w:t>
            </w:r>
            <w:r w:rsidR="003708B4">
              <w:t>&amp;</w:t>
            </w:r>
            <w:r>
              <w:t xml:space="preserve"> Pens</w:t>
            </w:r>
            <w:r>
              <w:t>i</w:t>
            </w:r>
            <w:r>
              <w:t>on.</w:t>
            </w: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Default="009A2717" w:rsidP="00B873A5">
            <w:pPr>
              <w:pStyle w:val="Tabel-BrdtekstmedafstandptekstGaramond"/>
              <w:spacing w:before="0"/>
              <w:ind w:left="204" w:right="141"/>
            </w:pPr>
          </w:p>
          <w:p w:rsidR="00C03BAA" w:rsidRDefault="00C03BAA" w:rsidP="00B873A5">
            <w:pPr>
              <w:pStyle w:val="Tabel-BrdtekstmedafstandptekstGaramond"/>
              <w:spacing w:before="0"/>
              <w:ind w:left="204" w:right="141"/>
            </w:pPr>
          </w:p>
          <w:p w:rsidR="009A2717" w:rsidRPr="00B5346F" w:rsidRDefault="009A2717" w:rsidP="00B873A5">
            <w:pPr>
              <w:pStyle w:val="Tabel-BrdtekstmedafstandptekstGaramond"/>
              <w:spacing w:before="0"/>
              <w:ind w:left="204" w:right="141"/>
            </w:pPr>
            <w:r>
              <w:t>Dette er korrekt, men har ingen konsekvenser for forslaget.</w:t>
            </w:r>
          </w:p>
        </w:tc>
      </w:tr>
      <w:tr w:rsidR="008A0C7C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A0C7C" w:rsidRDefault="008A0C7C" w:rsidP="00255FEA">
            <w:pPr>
              <w:pStyle w:val="Tabel-BrdtekstmedafstandptekstGaramond"/>
              <w:spacing w:before="0"/>
            </w:pPr>
            <w:r>
              <w:lastRenderedPageBreak/>
              <w:t>Rigsrevisionen</w:t>
            </w:r>
          </w:p>
        </w:tc>
        <w:tc>
          <w:tcPr>
            <w:tcW w:w="132" w:type="dxa"/>
            <w:shd w:val="clear" w:color="auto" w:fill="FFFFFF" w:themeFill="background1"/>
          </w:tcPr>
          <w:p w:rsidR="008A0C7C" w:rsidRPr="00B5346F" w:rsidRDefault="008A0C7C" w:rsidP="00255FEA">
            <w:pPr>
              <w:pStyle w:val="Tabel-BrdtekstmedafstandptekstGaramond"/>
              <w:spacing w:before="0"/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A0C7C" w:rsidRDefault="008A0C7C" w:rsidP="00B873A5">
            <w:pPr>
              <w:pStyle w:val="Tabel-BrdtekstmedafstandptekstGaramond"/>
              <w:spacing w:before="0"/>
              <w:ind w:left="184"/>
            </w:pPr>
            <w:r>
              <w:t>Rigsrevisionen har ingen b</w:t>
            </w:r>
            <w:r>
              <w:t>e</w:t>
            </w:r>
            <w:r>
              <w:t>mærkninger.</w:t>
            </w:r>
          </w:p>
          <w:p w:rsidR="00C03BAA" w:rsidRDefault="00C03BAA" w:rsidP="00B873A5">
            <w:pPr>
              <w:pStyle w:val="Tabel-BrdtekstmedafstandptekstGaramond"/>
              <w:spacing w:before="0"/>
              <w:ind w:left="184"/>
            </w:pPr>
          </w:p>
        </w:tc>
        <w:tc>
          <w:tcPr>
            <w:tcW w:w="443" w:type="dxa"/>
            <w:shd w:val="clear" w:color="auto" w:fill="FFFFFF" w:themeFill="background1"/>
          </w:tcPr>
          <w:p w:rsidR="008A0C7C" w:rsidRPr="00B5346F" w:rsidRDefault="008A0C7C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A0C7C" w:rsidRDefault="008A0C7C" w:rsidP="00255FEA">
            <w:pPr>
              <w:pStyle w:val="Tabel-BrdtekstmedafstandptekstGaramond"/>
              <w:spacing w:before="0"/>
            </w:pPr>
          </w:p>
        </w:tc>
      </w:tr>
      <w:tr w:rsidR="009A2717" w:rsidRPr="00B5346F" w:rsidTr="009A2717">
        <w:tc>
          <w:tcPr>
            <w:tcW w:w="2661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A42A86" w:rsidRDefault="009A2717" w:rsidP="00932840">
            <w:pPr>
              <w:pStyle w:val="Tabel-BrdtekstmedafstandptekstGaramond"/>
              <w:spacing w:before="0"/>
              <w:rPr>
                <w:highlight w:val="yellow"/>
              </w:rPr>
            </w:pPr>
            <w:r w:rsidRPr="00A42A86">
              <w:t>SR</w:t>
            </w:r>
            <w:r w:rsidR="00932840">
              <w:t>F</w:t>
            </w:r>
            <w:r w:rsidRPr="00A42A86">
              <w:t xml:space="preserve"> Skattefaglig </w:t>
            </w:r>
            <w:r>
              <w:t>F</w:t>
            </w:r>
            <w:r w:rsidRPr="00A42A86">
              <w:t>o</w:t>
            </w:r>
            <w:r w:rsidRPr="00A42A86">
              <w:t>r</w:t>
            </w:r>
            <w:r w:rsidRPr="00A42A86">
              <w:t>ening</w:t>
            </w:r>
          </w:p>
        </w:tc>
        <w:tc>
          <w:tcPr>
            <w:tcW w:w="132" w:type="dxa"/>
            <w:shd w:val="clear" w:color="auto" w:fill="FFFFFF" w:themeFill="background1"/>
          </w:tcPr>
          <w:p w:rsidR="009A2717" w:rsidRPr="00297F45" w:rsidRDefault="009A2717" w:rsidP="00255FEA">
            <w:pPr>
              <w:pStyle w:val="Tabel-BrdtekstmedafstandptekstGaramond"/>
              <w:spacing w:before="0"/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9A2717" w:rsidRPr="00297F45" w:rsidRDefault="008A0C7C" w:rsidP="00B873A5">
            <w:pPr>
              <w:pStyle w:val="Tabel-BrdtekstmedafstandptekstGaramond"/>
              <w:spacing w:before="0"/>
              <w:ind w:left="184"/>
              <w:rPr>
                <w:highlight w:val="yellow"/>
              </w:rPr>
            </w:pPr>
            <w:r>
              <w:t>SR</w:t>
            </w:r>
            <w:r w:rsidR="00932840">
              <w:t>F</w:t>
            </w:r>
            <w:r>
              <w:t xml:space="preserve"> har i</w:t>
            </w:r>
            <w:r w:rsidR="009A2717" w:rsidRPr="00A42A86">
              <w:t>ngen bemærkninger</w:t>
            </w:r>
          </w:p>
        </w:tc>
        <w:tc>
          <w:tcPr>
            <w:tcW w:w="443" w:type="dxa"/>
            <w:shd w:val="clear" w:color="auto" w:fill="FFFFFF" w:themeFill="background1"/>
          </w:tcPr>
          <w:p w:rsidR="009A2717" w:rsidRPr="00B5346F" w:rsidRDefault="009A2717" w:rsidP="00255FEA">
            <w:pPr>
              <w:pStyle w:val="Tabel-BrdtekstmedafstandptekstGaramond"/>
              <w:spacing w:before="0"/>
            </w:pPr>
          </w:p>
        </w:tc>
        <w:tc>
          <w:tcPr>
            <w:tcW w:w="3180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9A2717" w:rsidRDefault="009A2717" w:rsidP="00255FEA">
            <w:pPr>
              <w:pStyle w:val="Tabel-BrdtekstmedafstandptekstGaramond"/>
              <w:spacing w:before="0"/>
            </w:pPr>
          </w:p>
        </w:tc>
      </w:tr>
    </w:tbl>
    <w:p w:rsidR="00600E3E" w:rsidRPr="00F37F63" w:rsidRDefault="00600E3E" w:rsidP="00255FEA">
      <w:pPr>
        <w:pStyle w:val="Tabel-BrdtekstmedafstandptekstGaramond"/>
      </w:pPr>
    </w:p>
    <w:sectPr w:rsidR="00600E3E" w:rsidRPr="00F37F63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5B" w:rsidRDefault="00AA3A5B" w:rsidP="009E4B94">
      <w:pPr>
        <w:spacing w:line="240" w:lineRule="auto"/>
      </w:pPr>
      <w:r>
        <w:separator/>
      </w:r>
    </w:p>
  </w:endnote>
  <w:endnote w:type="continuationSeparator" w:id="0">
    <w:p w:rsidR="00AA3A5B" w:rsidRDefault="00AA3A5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Default="007B2B3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Pr="00681D83" w:rsidRDefault="007B2B3B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2B3B" w:rsidRPr="00094ABD" w:rsidRDefault="007B2B3B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2383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23838">
                            <w:rPr>
                              <w:rStyle w:val="Sidetal"/>
                              <w:noProof/>
                            </w:rPr>
                            <w:t>10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7B2B3B" w:rsidRPr="00094ABD" w:rsidRDefault="007B2B3B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23838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23838">
                      <w:rPr>
                        <w:rStyle w:val="Sidetal"/>
                        <w:noProof/>
                      </w:rPr>
                      <w:t>10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Pr="00094ABD" w:rsidRDefault="007B2B3B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5B" w:rsidRDefault="00AA3A5B" w:rsidP="009E4B94">
      <w:pPr>
        <w:spacing w:line="240" w:lineRule="auto"/>
      </w:pPr>
      <w:r>
        <w:separator/>
      </w:r>
    </w:p>
  </w:footnote>
  <w:footnote w:type="continuationSeparator" w:id="0">
    <w:p w:rsidR="00AA3A5B" w:rsidRDefault="00AA3A5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Default="007B2B3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Default="007B2B3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B" w:rsidRDefault="007B2B3B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6F66"/>
    <w:rsid w:val="0000703F"/>
    <w:rsid w:val="000071BB"/>
    <w:rsid w:val="000122A0"/>
    <w:rsid w:val="0001534C"/>
    <w:rsid w:val="00015BD3"/>
    <w:rsid w:val="00017063"/>
    <w:rsid w:val="00017586"/>
    <w:rsid w:val="00017D9A"/>
    <w:rsid w:val="00017F33"/>
    <w:rsid w:val="00023540"/>
    <w:rsid w:val="0002656E"/>
    <w:rsid w:val="00030F87"/>
    <w:rsid w:val="00035709"/>
    <w:rsid w:val="000365B1"/>
    <w:rsid w:val="00036A0A"/>
    <w:rsid w:val="00040FA6"/>
    <w:rsid w:val="0004236C"/>
    <w:rsid w:val="000423FF"/>
    <w:rsid w:val="00045354"/>
    <w:rsid w:val="00045E50"/>
    <w:rsid w:val="0005286B"/>
    <w:rsid w:val="00056EFA"/>
    <w:rsid w:val="00062109"/>
    <w:rsid w:val="00066A26"/>
    <w:rsid w:val="00066C13"/>
    <w:rsid w:val="00081169"/>
    <w:rsid w:val="00094ABD"/>
    <w:rsid w:val="000A1D56"/>
    <w:rsid w:val="000A42E7"/>
    <w:rsid w:val="000B046D"/>
    <w:rsid w:val="000B2946"/>
    <w:rsid w:val="000B3E56"/>
    <w:rsid w:val="000C21B8"/>
    <w:rsid w:val="000C292C"/>
    <w:rsid w:val="000C3DE0"/>
    <w:rsid w:val="000C4289"/>
    <w:rsid w:val="000C6781"/>
    <w:rsid w:val="000D709A"/>
    <w:rsid w:val="000D7256"/>
    <w:rsid w:val="000E12D0"/>
    <w:rsid w:val="000E3960"/>
    <w:rsid w:val="000E4BF3"/>
    <w:rsid w:val="000F2BFB"/>
    <w:rsid w:val="000F2D7E"/>
    <w:rsid w:val="000F4D15"/>
    <w:rsid w:val="001000E0"/>
    <w:rsid w:val="001031E8"/>
    <w:rsid w:val="00103A6A"/>
    <w:rsid w:val="00114D88"/>
    <w:rsid w:val="00121584"/>
    <w:rsid w:val="001278A8"/>
    <w:rsid w:val="00127940"/>
    <w:rsid w:val="00131F5D"/>
    <w:rsid w:val="0013244F"/>
    <w:rsid w:val="00140A4C"/>
    <w:rsid w:val="00150E40"/>
    <w:rsid w:val="00153F40"/>
    <w:rsid w:val="001554DD"/>
    <w:rsid w:val="00161AF0"/>
    <w:rsid w:val="001645C0"/>
    <w:rsid w:val="00165D2F"/>
    <w:rsid w:val="00174AC5"/>
    <w:rsid w:val="001816CF"/>
    <w:rsid w:val="00182651"/>
    <w:rsid w:val="00182FDC"/>
    <w:rsid w:val="0018372A"/>
    <w:rsid w:val="00183BF3"/>
    <w:rsid w:val="001863A7"/>
    <w:rsid w:val="00191D70"/>
    <w:rsid w:val="001A03F4"/>
    <w:rsid w:val="001A2678"/>
    <w:rsid w:val="001A46C5"/>
    <w:rsid w:val="001A7307"/>
    <w:rsid w:val="001A74AB"/>
    <w:rsid w:val="001A7D9D"/>
    <w:rsid w:val="001B1265"/>
    <w:rsid w:val="001B2C9B"/>
    <w:rsid w:val="001B37AF"/>
    <w:rsid w:val="001B397D"/>
    <w:rsid w:val="001B3A9B"/>
    <w:rsid w:val="001C1442"/>
    <w:rsid w:val="001C4D43"/>
    <w:rsid w:val="001C5CFD"/>
    <w:rsid w:val="001D0093"/>
    <w:rsid w:val="001D6BD9"/>
    <w:rsid w:val="001D77BA"/>
    <w:rsid w:val="001E62EE"/>
    <w:rsid w:val="001E79D1"/>
    <w:rsid w:val="001F00F7"/>
    <w:rsid w:val="001F371E"/>
    <w:rsid w:val="001F374B"/>
    <w:rsid w:val="001F440B"/>
    <w:rsid w:val="00203DE6"/>
    <w:rsid w:val="002061FB"/>
    <w:rsid w:val="002077C6"/>
    <w:rsid w:val="00207BEC"/>
    <w:rsid w:val="00211752"/>
    <w:rsid w:val="0022582F"/>
    <w:rsid w:val="00226DFD"/>
    <w:rsid w:val="002301C3"/>
    <w:rsid w:val="002304BA"/>
    <w:rsid w:val="00232094"/>
    <w:rsid w:val="00233285"/>
    <w:rsid w:val="0023768D"/>
    <w:rsid w:val="0024037A"/>
    <w:rsid w:val="0024068B"/>
    <w:rsid w:val="00244D70"/>
    <w:rsid w:val="002522DC"/>
    <w:rsid w:val="00255FEA"/>
    <w:rsid w:val="002569A1"/>
    <w:rsid w:val="00261DCB"/>
    <w:rsid w:val="0026468A"/>
    <w:rsid w:val="00265E75"/>
    <w:rsid w:val="00266087"/>
    <w:rsid w:val="00266ADF"/>
    <w:rsid w:val="00267514"/>
    <w:rsid w:val="002709FF"/>
    <w:rsid w:val="0027543D"/>
    <w:rsid w:val="00276727"/>
    <w:rsid w:val="00286098"/>
    <w:rsid w:val="002870F4"/>
    <w:rsid w:val="00292D6D"/>
    <w:rsid w:val="00297EF4"/>
    <w:rsid w:val="00297F45"/>
    <w:rsid w:val="002A2403"/>
    <w:rsid w:val="002B0B93"/>
    <w:rsid w:val="002B3C73"/>
    <w:rsid w:val="002B3F45"/>
    <w:rsid w:val="002C0812"/>
    <w:rsid w:val="002C0DC1"/>
    <w:rsid w:val="002C132D"/>
    <w:rsid w:val="002C258E"/>
    <w:rsid w:val="002D142F"/>
    <w:rsid w:val="002D34F9"/>
    <w:rsid w:val="002D4D37"/>
    <w:rsid w:val="002E233E"/>
    <w:rsid w:val="002E30A1"/>
    <w:rsid w:val="002E5101"/>
    <w:rsid w:val="002E6B15"/>
    <w:rsid w:val="002E6C37"/>
    <w:rsid w:val="002E74A4"/>
    <w:rsid w:val="002F70DC"/>
    <w:rsid w:val="00302887"/>
    <w:rsid w:val="0030304D"/>
    <w:rsid w:val="00307018"/>
    <w:rsid w:val="003075A8"/>
    <w:rsid w:val="00313693"/>
    <w:rsid w:val="00320956"/>
    <w:rsid w:val="003232B3"/>
    <w:rsid w:val="00327B9C"/>
    <w:rsid w:val="00327D19"/>
    <w:rsid w:val="00334403"/>
    <w:rsid w:val="003348CE"/>
    <w:rsid w:val="00337470"/>
    <w:rsid w:val="003400E0"/>
    <w:rsid w:val="00340317"/>
    <w:rsid w:val="00345F9B"/>
    <w:rsid w:val="00350225"/>
    <w:rsid w:val="0035041B"/>
    <w:rsid w:val="00351BE5"/>
    <w:rsid w:val="00351C70"/>
    <w:rsid w:val="00353DF3"/>
    <w:rsid w:val="003546FE"/>
    <w:rsid w:val="00355082"/>
    <w:rsid w:val="00357D64"/>
    <w:rsid w:val="003640CE"/>
    <w:rsid w:val="00364417"/>
    <w:rsid w:val="0037083B"/>
    <w:rsid w:val="003708B4"/>
    <w:rsid w:val="0037653C"/>
    <w:rsid w:val="00382AE5"/>
    <w:rsid w:val="00386212"/>
    <w:rsid w:val="003867F5"/>
    <w:rsid w:val="003869F5"/>
    <w:rsid w:val="00392A0E"/>
    <w:rsid w:val="00395893"/>
    <w:rsid w:val="003967B4"/>
    <w:rsid w:val="00397C6D"/>
    <w:rsid w:val="003A7D23"/>
    <w:rsid w:val="003B15BC"/>
    <w:rsid w:val="003B35B0"/>
    <w:rsid w:val="003B43C2"/>
    <w:rsid w:val="003B4434"/>
    <w:rsid w:val="003C4B3F"/>
    <w:rsid w:val="003C4F9F"/>
    <w:rsid w:val="003C5BFC"/>
    <w:rsid w:val="003C60F1"/>
    <w:rsid w:val="003D14FD"/>
    <w:rsid w:val="003E6260"/>
    <w:rsid w:val="003F2FE8"/>
    <w:rsid w:val="003F501D"/>
    <w:rsid w:val="003F52AC"/>
    <w:rsid w:val="004033F0"/>
    <w:rsid w:val="00404BF7"/>
    <w:rsid w:val="004141C6"/>
    <w:rsid w:val="00415896"/>
    <w:rsid w:val="00416196"/>
    <w:rsid w:val="004200E5"/>
    <w:rsid w:val="00422AD0"/>
    <w:rsid w:val="00424709"/>
    <w:rsid w:val="00425F90"/>
    <w:rsid w:val="00426288"/>
    <w:rsid w:val="00430C76"/>
    <w:rsid w:val="00431CEB"/>
    <w:rsid w:val="004346B4"/>
    <w:rsid w:val="004400BC"/>
    <w:rsid w:val="004413DA"/>
    <w:rsid w:val="0044203E"/>
    <w:rsid w:val="00446687"/>
    <w:rsid w:val="00453800"/>
    <w:rsid w:val="00455537"/>
    <w:rsid w:val="004555F1"/>
    <w:rsid w:val="00456886"/>
    <w:rsid w:val="0046020E"/>
    <w:rsid w:val="00466136"/>
    <w:rsid w:val="00467A96"/>
    <w:rsid w:val="004730C4"/>
    <w:rsid w:val="00473F79"/>
    <w:rsid w:val="0047576C"/>
    <w:rsid w:val="00481712"/>
    <w:rsid w:val="004818F9"/>
    <w:rsid w:val="00484640"/>
    <w:rsid w:val="00491D5C"/>
    <w:rsid w:val="00494261"/>
    <w:rsid w:val="004A5600"/>
    <w:rsid w:val="004B234F"/>
    <w:rsid w:val="004B3917"/>
    <w:rsid w:val="004B5150"/>
    <w:rsid w:val="004B70E3"/>
    <w:rsid w:val="004C01B2"/>
    <w:rsid w:val="004D0057"/>
    <w:rsid w:val="004D0A20"/>
    <w:rsid w:val="004D2BD7"/>
    <w:rsid w:val="004D46CB"/>
    <w:rsid w:val="004D4D2A"/>
    <w:rsid w:val="004E2163"/>
    <w:rsid w:val="004E23AF"/>
    <w:rsid w:val="004E5CD4"/>
    <w:rsid w:val="004E5FA3"/>
    <w:rsid w:val="004E6177"/>
    <w:rsid w:val="004E66AF"/>
    <w:rsid w:val="004E7923"/>
    <w:rsid w:val="004E7B68"/>
    <w:rsid w:val="004F5469"/>
    <w:rsid w:val="00503680"/>
    <w:rsid w:val="00504882"/>
    <w:rsid w:val="005076DE"/>
    <w:rsid w:val="00513A68"/>
    <w:rsid w:val="00522DA7"/>
    <w:rsid w:val="0052406A"/>
    <w:rsid w:val="00525897"/>
    <w:rsid w:val="005263C5"/>
    <w:rsid w:val="00527718"/>
    <w:rsid w:val="005278D5"/>
    <w:rsid w:val="00530A82"/>
    <w:rsid w:val="00535188"/>
    <w:rsid w:val="0053662E"/>
    <w:rsid w:val="00540903"/>
    <w:rsid w:val="00541FDB"/>
    <w:rsid w:val="00545845"/>
    <w:rsid w:val="00546077"/>
    <w:rsid w:val="00552825"/>
    <w:rsid w:val="005536A8"/>
    <w:rsid w:val="00557D78"/>
    <w:rsid w:val="00562B29"/>
    <w:rsid w:val="00562DFF"/>
    <w:rsid w:val="00563829"/>
    <w:rsid w:val="00564154"/>
    <w:rsid w:val="00566599"/>
    <w:rsid w:val="00566DCB"/>
    <w:rsid w:val="005745C8"/>
    <w:rsid w:val="00574D93"/>
    <w:rsid w:val="00576D1B"/>
    <w:rsid w:val="005773BF"/>
    <w:rsid w:val="005839F6"/>
    <w:rsid w:val="00585CE2"/>
    <w:rsid w:val="00585EF4"/>
    <w:rsid w:val="005865A9"/>
    <w:rsid w:val="00590C3C"/>
    <w:rsid w:val="00591EBC"/>
    <w:rsid w:val="0059233B"/>
    <w:rsid w:val="00594315"/>
    <w:rsid w:val="00597BC4"/>
    <w:rsid w:val="005A050A"/>
    <w:rsid w:val="005A0585"/>
    <w:rsid w:val="005A28D4"/>
    <w:rsid w:val="005B4028"/>
    <w:rsid w:val="005C0063"/>
    <w:rsid w:val="005C00FF"/>
    <w:rsid w:val="005C11E0"/>
    <w:rsid w:val="005C1EC2"/>
    <w:rsid w:val="005C47D6"/>
    <w:rsid w:val="005C5F97"/>
    <w:rsid w:val="005D29E8"/>
    <w:rsid w:val="005D70E0"/>
    <w:rsid w:val="005E6C9A"/>
    <w:rsid w:val="005F1580"/>
    <w:rsid w:val="005F29AC"/>
    <w:rsid w:val="005F2CBD"/>
    <w:rsid w:val="005F2D2A"/>
    <w:rsid w:val="005F3493"/>
    <w:rsid w:val="005F3ED8"/>
    <w:rsid w:val="00600E3E"/>
    <w:rsid w:val="00601B44"/>
    <w:rsid w:val="00606B93"/>
    <w:rsid w:val="0061151D"/>
    <w:rsid w:val="00611A59"/>
    <w:rsid w:val="00612127"/>
    <w:rsid w:val="00615390"/>
    <w:rsid w:val="00615CB5"/>
    <w:rsid w:val="00622C50"/>
    <w:rsid w:val="00637CAF"/>
    <w:rsid w:val="006411DD"/>
    <w:rsid w:val="00642CBC"/>
    <w:rsid w:val="006460AC"/>
    <w:rsid w:val="0065034E"/>
    <w:rsid w:val="00655B49"/>
    <w:rsid w:val="00656772"/>
    <w:rsid w:val="006705FB"/>
    <w:rsid w:val="00670A63"/>
    <w:rsid w:val="0067143B"/>
    <w:rsid w:val="0067386E"/>
    <w:rsid w:val="00675066"/>
    <w:rsid w:val="006777CC"/>
    <w:rsid w:val="00681D83"/>
    <w:rsid w:val="00682A9C"/>
    <w:rsid w:val="00690032"/>
    <w:rsid w:val="006900C2"/>
    <w:rsid w:val="00691BEE"/>
    <w:rsid w:val="0069285A"/>
    <w:rsid w:val="00694421"/>
    <w:rsid w:val="006A35DE"/>
    <w:rsid w:val="006A7F7D"/>
    <w:rsid w:val="006B0F61"/>
    <w:rsid w:val="006B30A9"/>
    <w:rsid w:val="006B56A8"/>
    <w:rsid w:val="006B6580"/>
    <w:rsid w:val="006B7968"/>
    <w:rsid w:val="006C00B2"/>
    <w:rsid w:val="006D040C"/>
    <w:rsid w:val="006E3968"/>
    <w:rsid w:val="006E3B28"/>
    <w:rsid w:val="006F0AFB"/>
    <w:rsid w:val="006F1C71"/>
    <w:rsid w:val="006F2774"/>
    <w:rsid w:val="006F41A8"/>
    <w:rsid w:val="006F58CC"/>
    <w:rsid w:val="006F6849"/>
    <w:rsid w:val="00701134"/>
    <w:rsid w:val="00701514"/>
    <w:rsid w:val="0070267E"/>
    <w:rsid w:val="00703B3F"/>
    <w:rsid w:val="00706E32"/>
    <w:rsid w:val="00707273"/>
    <w:rsid w:val="00711528"/>
    <w:rsid w:val="00713133"/>
    <w:rsid w:val="00713E21"/>
    <w:rsid w:val="00713F98"/>
    <w:rsid w:val="0071523D"/>
    <w:rsid w:val="007154F3"/>
    <w:rsid w:val="0071686A"/>
    <w:rsid w:val="00723838"/>
    <w:rsid w:val="007250A0"/>
    <w:rsid w:val="00726D69"/>
    <w:rsid w:val="007304F3"/>
    <w:rsid w:val="007327A9"/>
    <w:rsid w:val="007355A3"/>
    <w:rsid w:val="00736C5B"/>
    <w:rsid w:val="007374AD"/>
    <w:rsid w:val="0074169A"/>
    <w:rsid w:val="00744308"/>
    <w:rsid w:val="007478F0"/>
    <w:rsid w:val="007546AF"/>
    <w:rsid w:val="007557BD"/>
    <w:rsid w:val="0076276D"/>
    <w:rsid w:val="00765934"/>
    <w:rsid w:val="00770410"/>
    <w:rsid w:val="00771115"/>
    <w:rsid w:val="00773427"/>
    <w:rsid w:val="00773919"/>
    <w:rsid w:val="00775409"/>
    <w:rsid w:val="007767C9"/>
    <w:rsid w:val="007805AF"/>
    <w:rsid w:val="00781D78"/>
    <w:rsid w:val="00784FC9"/>
    <w:rsid w:val="00786FCF"/>
    <w:rsid w:val="0078774E"/>
    <w:rsid w:val="00790576"/>
    <w:rsid w:val="0079342E"/>
    <w:rsid w:val="00796326"/>
    <w:rsid w:val="007A1B96"/>
    <w:rsid w:val="007A2D34"/>
    <w:rsid w:val="007A50F4"/>
    <w:rsid w:val="007B0B87"/>
    <w:rsid w:val="007B2B3B"/>
    <w:rsid w:val="007B7838"/>
    <w:rsid w:val="007C66D8"/>
    <w:rsid w:val="007D0309"/>
    <w:rsid w:val="007D52A7"/>
    <w:rsid w:val="007D55BD"/>
    <w:rsid w:val="007E0E19"/>
    <w:rsid w:val="007E2620"/>
    <w:rsid w:val="007E2CF5"/>
    <w:rsid w:val="007E373C"/>
    <w:rsid w:val="007E4174"/>
    <w:rsid w:val="007F0983"/>
    <w:rsid w:val="00801F34"/>
    <w:rsid w:val="008118B4"/>
    <w:rsid w:val="00815F28"/>
    <w:rsid w:val="00817EF6"/>
    <w:rsid w:val="00821434"/>
    <w:rsid w:val="00824115"/>
    <w:rsid w:val="008314D0"/>
    <w:rsid w:val="00845CC5"/>
    <w:rsid w:val="0084678F"/>
    <w:rsid w:val="00846BB9"/>
    <w:rsid w:val="00847D6C"/>
    <w:rsid w:val="00850126"/>
    <w:rsid w:val="008531FB"/>
    <w:rsid w:val="00856DE0"/>
    <w:rsid w:val="00864D45"/>
    <w:rsid w:val="00865728"/>
    <w:rsid w:val="00865D36"/>
    <w:rsid w:val="008662D3"/>
    <w:rsid w:val="0086696A"/>
    <w:rsid w:val="00871BBF"/>
    <w:rsid w:val="00871F90"/>
    <w:rsid w:val="0087256F"/>
    <w:rsid w:val="00877A77"/>
    <w:rsid w:val="00880222"/>
    <w:rsid w:val="00883280"/>
    <w:rsid w:val="00883879"/>
    <w:rsid w:val="0088477A"/>
    <w:rsid w:val="00892D08"/>
    <w:rsid w:val="00893791"/>
    <w:rsid w:val="00893C78"/>
    <w:rsid w:val="0089557A"/>
    <w:rsid w:val="008A0C7C"/>
    <w:rsid w:val="008A3001"/>
    <w:rsid w:val="008A352B"/>
    <w:rsid w:val="008A4F19"/>
    <w:rsid w:val="008A6D20"/>
    <w:rsid w:val="008B231E"/>
    <w:rsid w:val="008B5B59"/>
    <w:rsid w:val="008B797F"/>
    <w:rsid w:val="008D000A"/>
    <w:rsid w:val="008D2509"/>
    <w:rsid w:val="008D403D"/>
    <w:rsid w:val="008D5A02"/>
    <w:rsid w:val="008D79EF"/>
    <w:rsid w:val="008E208C"/>
    <w:rsid w:val="008E2ECE"/>
    <w:rsid w:val="008E4C26"/>
    <w:rsid w:val="008E5A6D"/>
    <w:rsid w:val="008F32DF"/>
    <w:rsid w:val="008F3C9B"/>
    <w:rsid w:val="008F4D20"/>
    <w:rsid w:val="008F5726"/>
    <w:rsid w:val="00902120"/>
    <w:rsid w:val="00902C3D"/>
    <w:rsid w:val="00915256"/>
    <w:rsid w:val="00916751"/>
    <w:rsid w:val="0092171B"/>
    <w:rsid w:val="009319DE"/>
    <w:rsid w:val="00932699"/>
    <w:rsid w:val="00932840"/>
    <w:rsid w:val="00940420"/>
    <w:rsid w:val="00947036"/>
    <w:rsid w:val="00947BA0"/>
    <w:rsid w:val="00951B25"/>
    <w:rsid w:val="00955BF3"/>
    <w:rsid w:val="00956FF8"/>
    <w:rsid w:val="009618C8"/>
    <w:rsid w:val="00965C06"/>
    <w:rsid w:val="00966A20"/>
    <w:rsid w:val="00967833"/>
    <w:rsid w:val="009678F1"/>
    <w:rsid w:val="0097460E"/>
    <w:rsid w:val="00976983"/>
    <w:rsid w:val="00982770"/>
    <w:rsid w:val="00983B74"/>
    <w:rsid w:val="009853CE"/>
    <w:rsid w:val="00986D8F"/>
    <w:rsid w:val="00990263"/>
    <w:rsid w:val="00990C6D"/>
    <w:rsid w:val="00992AB6"/>
    <w:rsid w:val="00994542"/>
    <w:rsid w:val="009A0957"/>
    <w:rsid w:val="009A2571"/>
    <w:rsid w:val="009A2717"/>
    <w:rsid w:val="009A29D4"/>
    <w:rsid w:val="009A4CCC"/>
    <w:rsid w:val="009A4E51"/>
    <w:rsid w:val="009B4003"/>
    <w:rsid w:val="009B585A"/>
    <w:rsid w:val="009C0DB6"/>
    <w:rsid w:val="009C1470"/>
    <w:rsid w:val="009C595B"/>
    <w:rsid w:val="009D200D"/>
    <w:rsid w:val="009D5592"/>
    <w:rsid w:val="009E4B94"/>
    <w:rsid w:val="009E56AD"/>
    <w:rsid w:val="009E6E22"/>
    <w:rsid w:val="009F18F2"/>
    <w:rsid w:val="009F3D7B"/>
    <w:rsid w:val="009F53D4"/>
    <w:rsid w:val="009F7050"/>
    <w:rsid w:val="00A0281C"/>
    <w:rsid w:val="00A11A2A"/>
    <w:rsid w:val="00A12F02"/>
    <w:rsid w:val="00A239DF"/>
    <w:rsid w:val="00A244A1"/>
    <w:rsid w:val="00A25C52"/>
    <w:rsid w:val="00A262CF"/>
    <w:rsid w:val="00A30808"/>
    <w:rsid w:val="00A409EC"/>
    <w:rsid w:val="00A40CB0"/>
    <w:rsid w:val="00A42A86"/>
    <w:rsid w:val="00A44557"/>
    <w:rsid w:val="00A50ACB"/>
    <w:rsid w:val="00A54B4A"/>
    <w:rsid w:val="00A559DC"/>
    <w:rsid w:val="00A56661"/>
    <w:rsid w:val="00A60BAD"/>
    <w:rsid w:val="00A61A96"/>
    <w:rsid w:val="00A64EA3"/>
    <w:rsid w:val="00A651C1"/>
    <w:rsid w:val="00A67A20"/>
    <w:rsid w:val="00A70C60"/>
    <w:rsid w:val="00A90CA8"/>
    <w:rsid w:val="00A920CB"/>
    <w:rsid w:val="00A94B3C"/>
    <w:rsid w:val="00AA2819"/>
    <w:rsid w:val="00AA3A5B"/>
    <w:rsid w:val="00AA7A98"/>
    <w:rsid w:val="00AB08A7"/>
    <w:rsid w:val="00AB111D"/>
    <w:rsid w:val="00AB149E"/>
    <w:rsid w:val="00AB2040"/>
    <w:rsid w:val="00AB20FF"/>
    <w:rsid w:val="00AB22A5"/>
    <w:rsid w:val="00AB29A0"/>
    <w:rsid w:val="00AB3463"/>
    <w:rsid w:val="00AB3E8A"/>
    <w:rsid w:val="00AB5B85"/>
    <w:rsid w:val="00AB7443"/>
    <w:rsid w:val="00AD043D"/>
    <w:rsid w:val="00AD09B1"/>
    <w:rsid w:val="00AD0C8A"/>
    <w:rsid w:val="00AD61FD"/>
    <w:rsid w:val="00AD7CCB"/>
    <w:rsid w:val="00AE1404"/>
    <w:rsid w:val="00AE154B"/>
    <w:rsid w:val="00AF1D02"/>
    <w:rsid w:val="00AF3412"/>
    <w:rsid w:val="00B00D92"/>
    <w:rsid w:val="00B04F1F"/>
    <w:rsid w:val="00B11EAB"/>
    <w:rsid w:val="00B2654C"/>
    <w:rsid w:val="00B31CF7"/>
    <w:rsid w:val="00B33003"/>
    <w:rsid w:val="00B3548C"/>
    <w:rsid w:val="00B3661B"/>
    <w:rsid w:val="00B36F9A"/>
    <w:rsid w:val="00B37097"/>
    <w:rsid w:val="00B421B6"/>
    <w:rsid w:val="00B430B4"/>
    <w:rsid w:val="00B4605E"/>
    <w:rsid w:val="00B5082D"/>
    <w:rsid w:val="00B512A1"/>
    <w:rsid w:val="00B5346F"/>
    <w:rsid w:val="00B54B11"/>
    <w:rsid w:val="00B62D13"/>
    <w:rsid w:val="00B64C73"/>
    <w:rsid w:val="00B6504E"/>
    <w:rsid w:val="00B81A39"/>
    <w:rsid w:val="00B873A5"/>
    <w:rsid w:val="00B90745"/>
    <w:rsid w:val="00B937B1"/>
    <w:rsid w:val="00B93951"/>
    <w:rsid w:val="00B948CC"/>
    <w:rsid w:val="00B9508F"/>
    <w:rsid w:val="00B96502"/>
    <w:rsid w:val="00B96937"/>
    <w:rsid w:val="00B96D2A"/>
    <w:rsid w:val="00BA18AE"/>
    <w:rsid w:val="00BA61A0"/>
    <w:rsid w:val="00BA6F07"/>
    <w:rsid w:val="00BB3E9D"/>
    <w:rsid w:val="00BC0356"/>
    <w:rsid w:val="00BC07DA"/>
    <w:rsid w:val="00BC22A9"/>
    <w:rsid w:val="00BC24ED"/>
    <w:rsid w:val="00BC590D"/>
    <w:rsid w:val="00BD393B"/>
    <w:rsid w:val="00BE1530"/>
    <w:rsid w:val="00BE32B0"/>
    <w:rsid w:val="00BE6598"/>
    <w:rsid w:val="00BE6B73"/>
    <w:rsid w:val="00BF0E68"/>
    <w:rsid w:val="00BF3513"/>
    <w:rsid w:val="00BF4D17"/>
    <w:rsid w:val="00C0360B"/>
    <w:rsid w:val="00C03BAA"/>
    <w:rsid w:val="00C050D1"/>
    <w:rsid w:val="00C06E76"/>
    <w:rsid w:val="00C135FA"/>
    <w:rsid w:val="00C1407F"/>
    <w:rsid w:val="00C14B5D"/>
    <w:rsid w:val="00C173F9"/>
    <w:rsid w:val="00C2169F"/>
    <w:rsid w:val="00C217E3"/>
    <w:rsid w:val="00C22D28"/>
    <w:rsid w:val="00C245AA"/>
    <w:rsid w:val="00C2782C"/>
    <w:rsid w:val="00C310A8"/>
    <w:rsid w:val="00C31316"/>
    <w:rsid w:val="00C31791"/>
    <w:rsid w:val="00C33F74"/>
    <w:rsid w:val="00C40F60"/>
    <w:rsid w:val="00C43F40"/>
    <w:rsid w:val="00C45A21"/>
    <w:rsid w:val="00C45EEB"/>
    <w:rsid w:val="00C46A79"/>
    <w:rsid w:val="00C51167"/>
    <w:rsid w:val="00C605DF"/>
    <w:rsid w:val="00C62DBD"/>
    <w:rsid w:val="00C65D69"/>
    <w:rsid w:val="00C66551"/>
    <w:rsid w:val="00C675EA"/>
    <w:rsid w:val="00C71C8E"/>
    <w:rsid w:val="00C726CD"/>
    <w:rsid w:val="00C837C2"/>
    <w:rsid w:val="00C86D85"/>
    <w:rsid w:val="00C91AD4"/>
    <w:rsid w:val="00C91DDB"/>
    <w:rsid w:val="00C9487C"/>
    <w:rsid w:val="00C9650C"/>
    <w:rsid w:val="00C96538"/>
    <w:rsid w:val="00CA1AD8"/>
    <w:rsid w:val="00CA61D4"/>
    <w:rsid w:val="00CB0BAE"/>
    <w:rsid w:val="00CB33DF"/>
    <w:rsid w:val="00CC0BE2"/>
    <w:rsid w:val="00CC1056"/>
    <w:rsid w:val="00CC1C48"/>
    <w:rsid w:val="00CC342E"/>
    <w:rsid w:val="00CC6322"/>
    <w:rsid w:val="00CD5714"/>
    <w:rsid w:val="00CD5C62"/>
    <w:rsid w:val="00CE262C"/>
    <w:rsid w:val="00CE2AF5"/>
    <w:rsid w:val="00CE383F"/>
    <w:rsid w:val="00CE5C53"/>
    <w:rsid w:val="00CE6918"/>
    <w:rsid w:val="00CF448D"/>
    <w:rsid w:val="00CF73BA"/>
    <w:rsid w:val="00CF7B06"/>
    <w:rsid w:val="00D0360E"/>
    <w:rsid w:val="00D10405"/>
    <w:rsid w:val="00D11921"/>
    <w:rsid w:val="00D1480E"/>
    <w:rsid w:val="00D1603A"/>
    <w:rsid w:val="00D16C20"/>
    <w:rsid w:val="00D243BB"/>
    <w:rsid w:val="00D25933"/>
    <w:rsid w:val="00D27BE1"/>
    <w:rsid w:val="00D32772"/>
    <w:rsid w:val="00D374E5"/>
    <w:rsid w:val="00D3786F"/>
    <w:rsid w:val="00D40319"/>
    <w:rsid w:val="00D42FEE"/>
    <w:rsid w:val="00D431D8"/>
    <w:rsid w:val="00D43E31"/>
    <w:rsid w:val="00D51AEC"/>
    <w:rsid w:val="00D56C01"/>
    <w:rsid w:val="00D609CD"/>
    <w:rsid w:val="00D66542"/>
    <w:rsid w:val="00D66E2C"/>
    <w:rsid w:val="00D777A1"/>
    <w:rsid w:val="00D77D76"/>
    <w:rsid w:val="00D868F1"/>
    <w:rsid w:val="00D92AA0"/>
    <w:rsid w:val="00D96141"/>
    <w:rsid w:val="00D961D6"/>
    <w:rsid w:val="00DA3C32"/>
    <w:rsid w:val="00DA6B75"/>
    <w:rsid w:val="00DA71CC"/>
    <w:rsid w:val="00DB31AF"/>
    <w:rsid w:val="00DB6950"/>
    <w:rsid w:val="00DB6E2D"/>
    <w:rsid w:val="00DB743D"/>
    <w:rsid w:val="00DC2A53"/>
    <w:rsid w:val="00DC2AB9"/>
    <w:rsid w:val="00DC38FB"/>
    <w:rsid w:val="00DC6B4D"/>
    <w:rsid w:val="00DD4A74"/>
    <w:rsid w:val="00DD6FBD"/>
    <w:rsid w:val="00DE23DE"/>
    <w:rsid w:val="00DE2B28"/>
    <w:rsid w:val="00DE528A"/>
    <w:rsid w:val="00DF0E45"/>
    <w:rsid w:val="00DF207D"/>
    <w:rsid w:val="00DF3700"/>
    <w:rsid w:val="00DF40DD"/>
    <w:rsid w:val="00DF4669"/>
    <w:rsid w:val="00DF5782"/>
    <w:rsid w:val="00DF61C1"/>
    <w:rsid w:val="00E01315"/>
    <w:rsid w:val="00E05FF2"/>
    <w:rsid w:val="00E06C0B"/>
    <w:rsid w:val="00E124C5"/>
    <w:rsid w:val="00E136F8"/>
    <w:rsid w:val="00E13E84"/>
    <w:rsid w:val="00E13F68"/>
    <w:rsid w:val="00E1438D"/>
    <w:rsid w:val="00E15A2D"/>
    <w:rsid w:val="00E1684B"/>
    <w:rsid w:val="00E1738A"/>
    <w:rsid w:val="00E2179A"/>
    <w:rsid w:val="00E229E1"/>
    <w:rsid w:val="00E24F37"/>
    <w:rsid w:val="00E26493"/>
    <w:rsid w:val="00E36BAE"/>
    <w:rsid w:val="00E370C3"/>
    <w:rsid w:val="00E42736"/>
    <w:rsid w:val="00E43092"/>
    <w:rsid w:val="00E434D1"/>
    <w:rsid w:val="00E46DFE"/>
    <w:rsid w:val="00E47932"/>
    <w:rsid w:val="00E509D4"/>
    <w:rsid w:val="00E54681"/>
    <w:rsid w:val="00E6000F"/>
    <w:rsid w:val="00E62F77"/>
    <w:rsid w:val="00E64481"/>
    <w:rsid w:val="00E64A82"/>
    <w:rsid w:val="00E66240"/>
    <w:rsid w:val="00E720F5"/>
    <w:rsid w:val="00E75ED1"/>
    <w:rsid w:val="00E76147"/>
    <w:rsid w:val="00E85AA2"/>
    <w:rsid w:val="00E8713F"/>
    <w:rsid w:val="00E9342B"/>
    <w:rsid w:val="00E97380"/>
    <w:rsid w:val="00EA0C39"/>
    <w:rsid w:val="00EA1F28"/>
    <w:rsid w:val="00EA5346"/>
    <w:rsid w:val="00EA6E4D"/>
    <w:rsid w:val="00EB603A"/>
    <w:rsid w:val="00ED0876"/>
    <w:rsid w:val="00ED698B"/>
    <w:rsid w:val="00ED7096"/>
    <w:rsid w:val="00EE1BE9"/>
    <w:rsid w:val="00EE4328"/>
    <w:rsid w:val="00EE4C34"/>
    <w:rsid w:val="00EF0F9B"/>
    <w:rsid w:val="00EF327E"/>
    <w:rsid w:val="00EF3F43"/>
    <w:rsid w:val="00EF55B3"/>
    <w:rsid w:val="00F002D7"/>
    <w:rsid w:val="00F0110B"/>
    <w:rsid w:val="00F024E2"/>
    <w:rsid w:val="00F054BE"/>
    <w:rsid w:val="00F05EEC"/>
    <w:rsid w:val="00F1124D"/>
    <w:rsid w:val="00F1563C"/>
    <w:rsid w:val="00F2008C"/>
    <w:rsid w:val="00F20D57"/>
    <w:rsid w:val="00F23AA3"/>
    <w:rsid w:val="00F23E3E"/>
    <w:rsid w:val="00F26552"/>
    <w:rsid w:val="00F2770A"/>
    <w:rsid w:val="00F31BD7"/>
    <w:rsid w:val="00F335AA"/>
    <w:rsid w:val="00F34E84"/>
    <w:rsid w:val="00F3625F"/>
    <w:rsid w:val="00F37F63"/>
    <w:rsid w:val="00F42BDA"/>
    <w:rsid w:val="00F44D38"/>
    <w:rsid w:val="00F45445"/>
    <w:rsid w:val="00F50965"/>
    <w:rsid w:val="00F51D73"/>
    <w:rsid w:val="00F540A8"/>
    <w:rsid w:val="00F557CC"/>
    <w:rsid w:val="00F57A54"/>
    <w:rsid w:val="00F6027B"/>
    <w:rsid w:val="00F611C2"/>
    <w:rsid w:val="00F63834"/>
    <w:rsid w:val="00F646E8"/>
    <w:rsid w:val="00F670DF"/>
    <w:rsid w:val="00F726FC"/>
    <w:rsid w:val="00F7344C"/>
    <w:rsid w:val="00F81CD2"/>
    <w:rsid w:val="00F82BB7"/>
    <w:rsid w:val="00F84303"/>
    <w:rsid w:val="00F90201"/>
    <w:rsid w:val="00F92FD0"/>
    <w:rsid w:val="00F93FF3"/>
    <w:rsid w:val="00F9462B"/>
    <w:rsid w:val="00F94967"/>
    <w:rsid w:val="00FA6475"/>
    <w:rsid w:val="00FB0C12"/>
    <w:rsid w:val="00FB0DF2"/>
    <w:rsid w:val="00FB1606"/>
    <w:rsid w:val="00FB1FE9"/>
    <w:rsid w:val="00FB4F2B"/>
    <w:rsid w:val="00FB66AD"/>
    <w:rsid w:val="00FB718E"/>
    <w:rsid w:val="00FC212D"/>
    <w:rsid w:val="00FC4E3D"/>
    <w:rsid w:val="00FC511D"/>
    <w:rsid w:val="00FC6B3E"/>
    <w:rsid w:val="00FC7F59"/>
    <w:rsid w:val="00FD0415"/>
    <w:rsid w:val="00FD070D"/>
    <w:rsid w:val="00FE2C9C"/>
    <w:rsid w:val="00FE62DF"/>
    <w:rsid w:val="00FF1AA2"/>
    <w:rsid w:val="00FF2D36"/>
    <w:rsid w:val="00FF44B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qFormat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796326"/>
    <w:pPr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02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02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281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02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81C"/>
    <w:rPr>
      <w:rFonts w:ascii="Garamond" w:hAnsi="Garamond"/>
      <w:b/>
      <w:bCs/>
      <w:sz w:val="20"/>
      <w:szCs w:val="20"/>
    </w:rPr>
  </w:style>
  <w:style w:type="paragraph" w:styleId="Ingenafstand">
    <w:name w:val="No Spacing"/>
    <w:uiPriority w:val="1"/>
    <w:qFormat/>
    <w:rsid w:val="001A03F4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qFormat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796326"/>
    <w:pPr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02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02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281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02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81C"/>
    <w:rPr>
      <w:rFonts w:ascii="Garamond" w:hAnsi="Garamond"/>
      <w:b/>
      <w:bCs/>
      <w:sz w:val="20"/>
      <w:szCs w:val="20"/>
    </w:rPr>
  </w:style>
  <w:style w:type="paragraph" w:styleId="Ingenafstand">
    <w:name w:val="No Spacing"/>
    <w:uiPriority w:val="1"/>
    <w:qFormat/>
    <w:rsid w:val="001A03F4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0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8458">
                                              <w:marLeft w:val="0"/>
                                              <w:marRight w:val="0"/>
                                              <w:marTop w:val="40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6D2201" w:rsidP="006D2201">
          <w:pPr>
            <w:pStyle w:val="1102700AAA9243BFBFA7499DA621CF991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4197C"/>
    <w:rsid w:val="0008004A"/>
    <w:rsid w:val="00094DD6"/>
    <w:rsid w:val="000E2E27"/>
    <w:rsid w:val="00163384"/>
    <w:rsid w:val="0018250A"/>
    <w:rsid w:val="001B697B"/>
    <w:rsid w:val="001C729D"/>
    <w:rsid w:val="001F06EB"/>
    <w:rsid w:val="00200D44"/>
    <w:rsid w:val="00207570"/>
    <w:rsid w:val="00262CA8"/>
    <w:rsid w:val="002B55D2"/>
    <w:rsid w:val="003531BE"/>
    <w:rsid w:val="004158FD"/>
    <w:rsid w:val="00491717"/>
    <w:rsid w:val="004953E9"/>
    <w:rsid w:val="004F693F"/>
    <w:rsid w:val="00516C96"/>
    <w:rsid w:val="005259C8"/>
    <w:rsid w:val="0053157D"/>
    <w:rsid w:val="00586838"/>
    <w:rsid w:val="00590333"/>
    <w:rsid w:val="006D2201"/>
    <w:rsid w:val="006D6638"/>
    <w:rsid w:val="00727C3B"/>
    <w:rsid w:val="007752DF"/>
    <w:rsid w:val="00775945"/>
    <w:rsid w:val="00795A2C"/>
    <w:rsid w:val="007B5A3D"/>
    <w:rsid w:val="0081769F"/>
    <w:rsid w:val="009500D1"/>
    <w:rsid w:val="00965A27"/>
    <w:rsid w:val="009F6870"/>
    <w:rsid w:val="00A23203"/>
    <w:rsid w:val="00A7679E"/>
    <w:rsid w:val="00A81BCD"/>
    <w:rsid w:val="00C1191D"/>
    <w:rsid w:val="00C76E22"/>
    <w:rsid w:val="00C85E53"/>
    <w:rsid w:val="00D029B0"/>
    <w:rsid w:val="00D32EF9"/>
    <w:rsid w:val="00D579F2"/>
    <w:rsid w:val="00E77134"/>
    <w:rsid w:val="00EB0B7B"/>
    <w:rsid w:val="00E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729D"/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729D"/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80B9-F151-475C-83D5-712F5199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10</Pages>
  <Words>2101</Words>
  <Characters>12822</Characters>
  <Application>Microsoft Office Word</Application>
  <DocSecurity>0</DocSecurity>
  <Lines>1282</Lines>
  <Paragraphs>710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2014-11-20T10:52:00Z</dcterms:created>
  <dcterms:modified xsi:type="dcterms:W3CDTF">2014-11-20T14:42:00Z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Høringsskema - lønsumsafgiftsloven - 20/11 ver 2 (DOK71303255)</vt:lpwstr>
  </property>
  <property fmtid="{D5CDD505-2E9C-101B-9397-08002B2CF9AE}" pid="4" name="path">
    <vt:lpwstr>C:\Users\w18967\AppData\Local\Temp\Scanjour\Captia\SJ20141120143957698 [DOK71303255].DOCX</vt:lpwstr>
  </property>
  <property fmtid="{D5CDD505-2E9C-101B-9397-08002B2CF9AE}" pid="5" name="command">
    <vt:lpwstr/>
  </property>
</Properties>
</file>